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E400C" w:rsidRPr="00CE400C" w:rsidRDefault="00CE400C" w:rsidP="00CE400C">
      <w:pPr>
        <w:pStyle w:val="NormalWeb"/>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CE400C">
      <w:pPr>
        <w:pStyle w:val="NormalWeb"/>
        <w:spacing w:before="0" w:beforeAutospacing="0" w:after="0" w:afterAutospacing="0"/>
        <w:jc w:val="both"/>
        <w:rPr>
          <w:rFonts w:ascii="Arial" w:hAnsi="Arial" w:cs="Arial"/>
          <w:b/>
          <w:bCs/>
          <w:caps/>
          <w:color w:val="376889"/>
        </w:rPr>
      </w:pPr>
    </w:p>
    <w:p w:rsidR="00332D8A" w:rsidRPr="003B674E" w:rsidRDefault="00332D8A" w:rsidP="00CE400C">
      <w:pPr>
        <w:pStyle w:val="NormalWeb"/>
        <w:spacing w:before="0" w:beforeAutospacing="0" w:after="0" w:afterAutospacing="0"/>
        <w:jc w:val="both"/>
        <w:rPr>
          <w:rFonts w:ascii="Arial" w:hAnsi="Arial" w:cs="Arial"/>
          <w:b/>
          <w:bCs/>
          <w:caps/>
          <w:color w:val="002F5D"/>
        </w:rPr>
      </w:pPr>
      <w:r w:rsidRPr="003B674E">
        <w:rPr>
          <w:rFonts w:ascii="Arial" w:hAnsi="Arial" w:cs="Arial"/>
          <w:b/>
          <w:bCs/>
          <w:caps/>
          <w:color w:val="002F5D"/>
        </w:rPr>
        <w:t>nacionales</w:t>
      </w:r>
    </w:p>
    <w:p w:rsidR="00CE400C" w:rsidRDefault="00CE400C" w:rsidP="00CE400C">
      <w:pPr>
        <w:pStyle w:val="NormalWeb"/>
        <w:spacing w:before="0" w:beforeAutospacing="0" w:after="0" w:afterAutospacing="0"/>
        <w:jc w:val="both"/>
        <w:rPr>
          <w:rFonts w:ascii="Arial" w:hAnsi="Arial" w:cs="Arial"/>
          <w:b/>
          <w:bCs/>
          <w:caps/>
          <w:color w:val="376889"/>
          <w:sz w:val="21"/>
          <w:szCs w:val="21"/>
        </w:rPr>
      </w:pPr>
    </w:p>
    <w:p w:rsidR="008C4219" w:rsidRDefault="008C4219" w:rsidP="008C4219">
      <w:pPr>
        <w:pStyle w:val="NormalWeb"/>
        <w:spacing w:before="0" w:beforeAutospacing="0" w:after="0" w:afterAutospacing="0"/>
        <w:jc w:val="both"/>
        <w:rPr>
          <w:rFonts w:ascii="Arial" w:hAnsi="Arial" w:cs="Arial"/>
          <w:b/>
          <w:bCs/>
          <w:caps/>
          <w:color w:val="376889"/>
        </w:rPr>
      </w:pPr>
      <w:r w:rsidRPr="00CE400C">
        <w:rPr>
          <w:rFonts w:ascii="Arial" w:hAnsi="Arial" w:cs="Arial"/>
          <w:b/>
          <w:bCs/>
          <w:caps/>
          <w:color w:val="002F5D"/>
        </w:rPr>
        <w:t>LEGISLACION</w:t>
      </w:r>
      <w:r w:rsidRPr="00CE400C">
        <w:rPr>
          <w:rFonts w:ascii="Arial" w:hAnsi="Arial" w:cs="Arial"/>
          <w:b/>
          <w:bCs/>
          <w:caps/>
          <w:color w:val="376889"/>
        </w:rPr>
        <w:t xml:space="preserve"> </w:t>
      </w:r>
    </w:p>
    <w:p w:rsidR="008C4219" w:rsidRDefault="008C4219" w:rsidP="005E1EC9">
      <w:pPr>
        <w:pStyle w:val="NormalWeb"/>
        <w:spacing w:before="0" w:beforeAutospacing="0" w:after="0" w:afterAutospacing="0"/>
        <w:jc w:val="both"/>
        <w:rPr>
          <w:rFonts w:ascii="Arial" w:hAnsi="Arial" w:cs="Arial"/>
          <w:b/>
          <w:bCs/>
          <w:caps/>
          <w:color w:val="002F5D"/>
          <w:sz w:val="21"/>
          <w:szCs w:val="21"/>
        </w:rPr>
      </w:pPr>
    </w:p>
    <w:p w:rsidR="00963E21" w:rsidRDefault="00ED6B94" w:rsidP="0088157D">
      <w:pPr>
        <w:pStyle w:val="NormalWeb"/>
        <w:spacing w:before="0" w:beforeAutospacing="0" w:after="0" w:afterAutospacing="0"/>
        <w:jc w:val="both"/>
        <w:rPr>
          <w:rFonts w:ascii="Arial" w:hAnsi="Arial" w:cs="Arial"/>
          <w:b/>
          <w:bCs/>
          <w:caps/>
          <w:color w:val="002F5D"/>
          <w:sz w:val="21"/>
          <w:szCs w:val="21"/>
        </w:rPr>
      </w:pPr>
      <w:r w:rsidRPr="00ED6B94">
        <w:rPr>
          <w:rFonts w:ascii="Arial" w:hAnsi="Arial" w:cs="Arial"/>
          <w:b/>
          <w:bCs/>
          <w:caps/>
          <w:color w:val="002F5D"/>
          <w:sz w:val="21"/>
          <w:szCs w:val="21"/>
        </w:rPr>
        <w:t>Impuesto a las Ganancias. Se ordena el Decreto Reglamentario</w:t>
      </w:r>
      <w:r>
        <w:rPr>
          <w:rFonts w:ascii="Arial" w:hAnsi="Arial" w:cs="Arial"/>
          <w:b/>
          <w:bCs/>
          <w:caps/>
          <w:color w:val="002F5D"/>
          <w:sz w:val="21"/>
          <w:szCs w:val="21"/>
        </w:rPr>
        <w:t xml:space="preserve"> - </w:t>
      </w:r>
      <w:r w:rsidRPr="00D86094">
        <w:rPr>
          <w:rFonts w:ascii="Arial" w:hAnsi="Arial" w:cs="Arial"/>
          <w:b/>
          <w:bCs/>
          <w:caps/>
          <w:color w:val="002F5D"/>
          <w:sz w:val="21"/>
          <w:szCs w:val="21"/>
        </w:rPr>
        <w:t>DECRETO (Poder Ejecutivo) 862/2019</w:t>
      </w:r>
    </w:p>
    <w:p w:rsidR="00D86094" w:rsidRPr="00ED6B94" w:rsidRDefault="00D86094" w:rsidP="0088157D">
      <w:pPr>
        <w:pStyle w:val="NormalWeb"/>
        <w:spacing w:before="0" w:beforeAutospacing="0" w:after="0" w:afterAutospacing="0"/>
        <w:jc w:val="both"/>
        <w:rPr>
          <w:rFonts w:ascii="Arial" w:hAnsi="Arial" w:cs="Arial"/>
          <w:b/>
          <w:bCs/>
          <w:caps/>
          <w:color w:val="002F5D"/>
          <w:sz w:val="21"/>
          <w:szCs w:val="21"/>
        </w:rPr>
      </w:pPr>
    </w:p>
    <w:p w:rsidR="00D86094" w:rsidRDefault="00ED6B94" w:rsidP="00D86094">
      <w:pPr>
        <w:pStyle w:val="NormalWeb"/>
        <w:spacing w:before="0" w:beforeAutospacing="0" w:after="0" w:afterAutospacing="0" w:line="360" w:lineRule="auto"/>
        <w:jc w:val="both"/>
        <w:rPr>
          <w:rFonts w:ascii="Arial" w:eastAsia="Times New Roman" w:hAnsi="Arial" w:cs="Arial"/>
          <w:b/>
          <w:bCs/>
          <w:color w:val="666666"/>
          <w:sz w:val="20"/>
          <w:szCs w:val="20"/>
        </w:rPr>
      </w:pPr>
      <w:r w:rsidRPr="00D86094">
        <w:rPr>
          <w:rFonts w:ascii="Arial" w:eastAsia="Times New Roman" w:hAnsi="Arial" w:cs="Arial"/>
          <w:b/>
          <w:bCs/>
          <w:color w:val="666666"/>
          <w:sz w:val="20"/>
          <w:szCs w:val="20"/>
        </w:rPr>
        <w:t>El Poder Ejecutivo ordena el decreto reglamentario del impuesto a las ganancias y, a su vez, se introducen algunas modificaciones en la reglamentación, entre las cuales señalamos:</w:t>
      </w:r>
      <w:r w:rsidRPr="00D86094">
        <w:rPr>
          <w:rFonts w:ascii="Arial" w:eastAsia="Times New Roman" w:hAnsi="Arial" w:cs="Arial"/>
          <w:b/>
          <w:bCs/>
          <w:color w:val="666666"/>
          <w:sz w:val="20"/>
          <w:szCs w:val="20"/>
        </w:rPr>
        <w:br/>
        <w:t>- Se incorporan como parte integrante del presente reglamento las disposiciones establecidas previamente en los decretos 976/2018 y 279/2018 respecto de las indemnizaciones de directivos y ejecutivos, así como del impuesto cedular por la enajenación de inmuebles y del tratamiento de la renta financiera de beneficiarios del exterior.</w:t>
      </w:r>
      <w:r w:rsidRPr="00D86094">
        <w:rPr>
          <w:rFonts w:ascii="Arial" w:eastAsia="Times New Roman" w:hAnsi="Arial" w:cs="Arial"/>
          <w:b/>
          <w:bCs/>
          <w:color w:val="666666"/>
          <w:sz w:val="20"/>
          <w:szCs w:val="20"/>
        </w:rPr>
        <w:br/>
        <w:t>- Se incorpora como texto del ordenamiento el listado de jurisdicciones no cooperantes, que son aquellos países que no tienen vigente con la República Argentina un Acuerdo de intercambio de información en materia tributaria o un convenio para evitar la doble imposición internacional con cláusula amplia de intercambio de información (art. 24).</w:t>
      </w:r>
    </w:p>
    <w:p w:rsidR="00963E21" w:rsidRPr="00D86094" w:rsidRDefault="00ED6B94" w:rsidP="00D86094">
      <w:pPr>
        <w:pStyle w:val="NormalWeb"/>
        <w:spacing w:before="0" w:beforeAutospacing="0" w:after="0" w:afterAutospacing="0" w:line="360" w:lineRule="auto"/>
        <w:jc w:val="both"/>
        <w:rPr>
          <w:rFonts w:ascii="Arial" w:eastAsia="Times New Roman" w:hAnsi="Arial" w:cs="Arial"/>
          <w:b/>
          <w:bCs/>
          <w:color w:val="666666"/>
          <w:sz w:val="20"/>
          <w:szCs w:val="20"/>
        </w:rPr>
      </w:pPr>
      <w:r w:rsidRPr="00D86094">
        <w:rPr>
          <w:rFonts w:ascii="Arial" w:eastAsia="Times New Roman" w:hAnsi="Arial" w:cs="Arial"/>
          <w:b/>
          <w:bCs/>
          <w:color w:val="666666"/>
          <w:sz w:val="20"/>
          <w:szCs w:val="20"/>
        </w:rPr>
        <w:t>- Se establece el orden para computar las deducciones generales y personales cuando existan rentas de fuente argentina y extranjera gravadas a la escala progresiva del impuesto, así como rentas de fuente extranjera gravadas a la alícuota del 15% (art. 189)</w:t>
      </w:r>
    </w:p>
    <w:p w:rsidR="00D86094" w:rsidRDefault="00D86094" w:rsidP="0088157D">
      <w:pPr>
        <w:pStyle w:val="NormalWeb"/>
        <w:spacing w:before="0" w:beforeAutospacing="0" w:after="0" w:afterAutospacing="0"/>
        <w:jc w:val="both"/>
        <w:rPr>
          <w:rFonts w:ascii="Arial" w:eastAsia="Times New Roman" w:hAnsi="Arial" w:cs="Arial"/>
          <w:color w:val="666666"/>
          <w:sz w:val="20"/>
          <w:szCs w:val="20"/>
        </w:rPr>
      </w:pPr>
    </w:p>
    <w:p w:rsidR="00D86094" w:rsidRPr="00D86094" w:rsidRDefault="00D86094" w:rsidP="00D86094">
      <w:pPr>
        <w:spacing w:before="120"/>
        <w:ind w:right="105"/>
        <w:jc w:val="both"/>
        <w:rPr>
          <w:rFonts w:ascii="Arial" w:hAnsi="Arial" w:cs="Arial"/>
          <w:b/>
          <w:bCs/>
          <w:caps/>
          <w:color w:val="002F5D"/>
        </w:rPr>
      </w:pPr>
      <w:r w:rsidRPr="00D86094">
        <w:rPr>
          <w:rFonts w:ascii="Arial" w:hAnsi="Arial" w:cs="Arial"/>
          <w:b/>
          <w:bCs/>
          <w:caps/>
          <w:color w:val="002F5D"/>
        </w:rPr>
        <w:t>JURISPRUDENCIA</w:t>
      </w:r>
    </w:p>
    <w:p w:rsidR="00D86094" w:rsidRDefault="00D86094" w:rsidP="0088157D">
      <w:pPr>
        <w:pStyle w:val="NormalWeb"/>
        <w:spacing w:before="0" w:beforeAutospacing="0" w:after="0" w:afterAutospacing="0"/>
        <w:jc w:val="both"/>
        <w:rPr>
          <w:rFonts w:ascii="Arial" w:eastAsia="Times New Roman" w:hAnsi="Arial" w:cs="Arial"/>
          <w:color w:val="666666"/>
          <w:sz w:val="20"/>
          <w:szCs w:val="20"/>
        </w:rPr>
      </w:pPr>
    </w:p>
    <w:p w:rsidR="00D86094" w:rsidRDefault="00D86094" w:rsidP="00D86094">
      <w:pPr>
        <w:pStyle w:val="NormalWeb"/>
        <w:spacing w:before="0" w:beforeAutospacing="0" w:after="0" w:afterAutospacing="0"/>
        <w:jc w:val="both"/>
        <w:rPr>
          <w:rFonts w:ascii="Arial" w:hAnsi="Arial" w:cs="Arial"/>
          <w:b/>
          <w:bCs/>
          <w:caps/>
          <w:color w:val="002F5D"/>
          <w:sz w:val="21"/>
          <w:szCs w:val="21"/>
        </w:rPr>
      </w:pPr>
      <w:r w:rsidRPr="00D86094">
        <w:rPr>
          <w:rFonts w:ascii="Arial" w:hAnsi="Arial" w:cs="Arial"/>
          <w:b/>
          <w:bCs/>
          <w:caps/>
          <w:color w:val="002F5D"/>
          <w:sz w:val="21"/>
          <w:szCs w:val="21"/>
        </w:rPr>
        <w:t>PROCEDIMIENTO. SUSPENSIÓN DE LA CUIT. PEDIDO DE EXCLUSIÓN DE LA BASE APOC MEDIANTE VÍA DE AMPARO. IMPROCEDENCIA</w:t>
      </w:r>
    </w:p>
    <w:p w:rsidR="00D86094" w:rsidRPr="00D86094" w:rsidRDefault="00D86094" w:rsidP="00D86094">
      <w:pPr>
        <w:pStyle w:val="NormalWeb"/>
        <w:spacing w:before="0" w:beforeAutospacing="0" w:after="0" w:afterAutospacing="0"/>
        <w:jc w:val="both"/>
        <w:rPr>
          <w:rFonts w:ascii="Arial" w:hAnsi="Arial" w:cs="Arial"/>
          <w:b/>
          <w:bCs/>
          <w:caps/>
          <w:color w:val="002F5D"/>
          <w:sz w:val="21"/>
          <w:szCs w:val="21"/>
        </w:rPr>
      </w:pPr>
    </w:p>
    <w:p w:rsidR="00D86094" w:rsidRDefault="00D86094" w:rsidP="00D86094">
      <w:pPr>
        <w:pStyle w:val="NormalWeb"/>
        <w:spacing w:before="0" w:beforeAutospacing="0" w:after="0" w:afterAutospacing="0" w:line="360" w:lineRule="auto"/>
        <w:jc w:val="both"/>
        <w:rPr>
          <w:rFonts w:ascii="Arial" w:eastAsia="Times New Roman" w:hAnsi="Arial" w:cs="Arial"/>
          <w:b/>
          <w:bCs/>
          <w:color w:val="666666"/>
          <w:sz w:val="20"/>
          <w:szCs w:val="20"/>
        </w:rPr>
      </w:pPr>
      <w:r w:rsidRPr="00D86094">
        <w:rPr>
          <w:rFonts w:ascii="Arial" w:eastAsia="Times New Roman" w:hAnsi="Arial" w:cs="Arial"/>
          <w:b/>
          <w:bCs/>
          <w:color w:val="666666"/>
          <w:sz w:val="20"/>
          <w:szCs w:val="20"/>
        </w:rPr>
        <w:t xml:space="preserve">La Corte Suprema de Justicia de la Nación, en autos “Flores, José Antonio c/AFIP-DGI s/amparo L. 16986”, de fecha 3/12/2019, confirmó la sentencia que desestimó la acción de amparo promovida por el actor para solicitar que lo excluyan del registro de facturas apócrifas previsto en la resolución general (AFIP) 3832, también denominada “base APOC”, y restablecer la CUIT. </w:t>
      </w:r>
    </w:p>
    <w:p w:rsidR="00D86094" w:rsidRPr="00D86094" w:rsidRDefault="00D86094" w:rsidP="00D86094">
      <w:pPr>
        <w:pStyle w:val="NormalWeb"/>
        <w:spacing w:before="0" w:beforeAutospacing="0" w:after="0" w:afterAutospacing="0" w:line="360" w:lineRule="auto"/>
        <w:jc w:val="both"/>
        <w:rPr>
          <w:rFonts w:ascii="Arial" w:eastAsia="Times New Roman" w:hAnsi="Arial" w:cs="Arial"/>
          <w:b/>
          <w:bCs/>
          <w:color w:val="666666"/>
          <w:sz w:val="20"/>
          <w:szCs w:val="20"/>
        </w:rPr>
      </w:pPr>
      <w:r w:rsidRPr="00D86094">
        <w:rPr>
          <w:rFonts w:ascii="Arial" w:eastAsia="Times New Roman" w:hAnsi="Arial" w:cs="Arial"/>
          <w:b/>
          <w:bCs/>
          <w:color w:val="666666"/>
          <w:sz w:val="20"/>
          <w:szCs w:val="20"/>
        </w:rPr>
        <w:t xml:space="preserve">Los magistrados interpretan que esta vía judicial no resulta idónea, dado que no se cumplen los requisitos que justifiquen su utilización, al no advertirse arbitrariedad o ilegalidad manifiesta en la conducta del Organismo Recaudador. Además, la sola mención en el registro APOC del contribuyente no resulta apta para que sea revisada en instancia </w:t>
      </w:r>
      <w:r w:rsidRPr="00D86094">
        <w:rPr>
          <w:rFonts w:ascii="Arial" w:eastAsia="Times New Roman" w:hAnsi="Arial" w:cs="Arial"/>
          <w:b/>
          <w:bCs/>
          <w:color w:val="666666"/>
          <w:sz w:val="20"/>
          <w:szCs w:val="20"/>
        </w:rPr>
        <w:lastRenderedPageBreak/>
        <w:t>extraordinaria, ya que la decisión de la AFIP no reviste el carácter de “definitiva” y puede ser revisada por la instancia ordinaria con mayor debate y prueba</w:t>
      </w:r>
    </w:p>
    <w:p w:rsidR="00BD286D" w:rsidRDefault="00BD286D" w:rsidP="008C4219">
      <w:pPr>
        <w:spacing w:before="120"/>
        <w:ind w:left="105" w:right="105"/>
        <w:jc w:val="both"/>
        <w:rPr>
          <w:rFonts w:ascii="Arial" w:eastAsia="Times New Roman" w:hAnsi="Arial" w:cs="Arial"/>
          <w:color w:val="666666"/>
          <w:sz w:val="20"/>
          <w:szCs w:val="20"/>
        </w:rPr>
      </w:pPr>
    </w:p>
    <w:p w:rsidR="0088157D" w:rsidRDefault="0088157D" w:rsidP="0088157D">
      <w:pPr>
        <w:pStyle w:val="NormalWeb"/>
        <w:spacing w:before="0" w:beforeAutospacing="0" w:after="0" w:afterAutospacing="0"/>
        <w:jc w:val="both"/>
        <w:rPr>
          <w:rFonts w:ascii="Arial" w:hAnsi="Arial" w:cs="Arial"/>
          <w:b/>
          <w:bCs/>
          <w:caps/>
          <w:color w:val="002F5D"/>
        </w:rPr>
      </w:pPr>
      <w:r w:rsidRPr="0088157D">
        <w:rPr>
          <w:rFonts w:ascii="Arial" w:hAnsi="Arial" w:cs="Arial"/>
          <w:b/>
          <w:bCs/>
          <w:caps/>
          <w:color w:val="002F5D"/>
        </w:rPr>
        <w:t>PROVINCIALES</w:t>
      </w:r>
    </w:p>
    <w:p w:rsidR="0088157D" w:rsidRPr="0088157D" w:rsidRDefault="0088157D" w:rsidP="0088157D">
      <w:pPr>
        <w:pStyle w:val="NormalWeb"/>
        <w:spacing w:before="0" w:beforeAutospacing="0" w:after="0" w:afterAutospacing="0"/>
        <w:jc w:val="both"/>
        <w:rPr>
          <w:rFonts w:ascii="Arial" w:hAnsi="Arial" w:cs="Arial"/>
          <w:b/>
          <w:bCs/>
          <w:caps/>
          <w:color w:val="002F5D"/>
        </w:rPr>
      </w:pPr>
    </w:p>
    <w:p w:rsidR="00963E21" w:rsidRDefault="00963E21" w:rsidP="00963E21">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Santa Fe</w:t>
      </w:r>
    </w:p>
    <w:p w:rsidR="00963E21" w:rsidRDefault="00D86094" w:rsidP="00963E21">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 xml:space="preserve">Uso obligatorio del módulo "Transferencia" de la aplicación informática “Trámites de Vehículos Automotores” - </w:t>
      </w:r>
      <w:r w:rsidRPr="00D86094">
        <w:rPr>
          <w:rFonts w:ascii="Arial" w:hAnsi="Arial" w:cs="Arial"/>
          <w:b/>
          <w:bCs/>
          <w:caps/>
          <w:color w:val="002F5D"/>
          <w:sz w:val="21"/>
          <w:szCs w:val="21"/>
        </w:rPr>
        <w:t>RESOLUCIÓN GENERAL (</w:t>
      </w:r>
      <w:proofErr w:type="spellStart"/>
      <w:r w:rsidRPr="00D86094">
        <w:rPr>
          <w:rFonts w:ascii="Arial" w:hAnsi="Arial" w:cs="Arial"/>
          <w:b/>
          <w:bCs/>
          <w:caps/>
          <w:color w:val="002F5D"/>
          <w:sz w:val="21"/>
          <w:szCs w:val="21"/>
        </w:rPr>
        <w:t>Adm</w:t>
      </w:r>
      <w:proofErr w:type="spellEnd"/>
      <w:r w:rsidRPr="00D86094">
        <w:rPr>
          <w:rFonts w:ascii="Arial" w:hAnsi="Arial" w:cs="Arial"/>
          <w:b/>
          <w:bCs/>
          <w:caps/>
          <w:color w:val="002F5D"/>
          <w:sz w:val="21"/>
          <w:szCs w:val="21"/>
        </w:rPr>
        <w:t>. Prov. Impuestos Santa Fe) 27/2019</w:t>
      </w:r>
    </w:p>
    <w:p w:rsidR="008C4219" w:rsidRPr="00963E21" w:rsidRDefault="008C4219" w:rsidP="005E1EC9">
      <w:pPr>
        <w:pStyle w:val="NormalWeb"/>
        <w:spacing w:before="0" w:beforeAutospacing="0" w:after="0" w:afterAutospacing="0"/>
        <w:jc w:val="both"/>
        <w:rPr>
          <w:rFonts w:ascii="Arial" w:eastAsia="Times New Roman" w:hAnsi="Arial" w:cs="Arial"/>
          <w:b/>
          <w:bCs/>
          <w:color w:val="666666"/>
          <w:sz w:val="20"/>
          <w:szCs w:val="20"/>
        </w:rPr>
      </w:pPr>
    </w:p>
    <w:p w:rsidR="005E1EC9" w:rsidRDefault="00D86094" w:rsidP="00D86094">
      <w:pPr>
        <w:pStyle w:val="NormalWeb"/>
        <w:spacing w:before="0" w:beforeAutospacing="0" w:after="0" w:afterAutospacing="0" w:line="360" w:lineRule="auto"/>
        <w:jc w:val="both"/>
        <w:rPr>
          <w:rFonts w:ascii="Arial" w:eastAsia="Times New Roman" w:hAnsi="Arial" w:cs="Arial"/>
          <w:b/>
          <w:bCs/>
          <w:color w:val="666666"/>
          <w:sz w:val="20"/>
          <w:szCs w:val="20"/>
        </w:rPr>
      </w:pPr>
      <w:r w:rsidRPr="00D86094">
        <w:rPr>
          <w:rFonts w:ascii="Arial" w:eastAsia="Times New Roman" w:hAnsi="Arial" w:cs="Arial"/>
          <w:b/>
          <w:bCs/>
          <w:color w:val="666666"/>
          <w:sz w:val="20"/>
          <w:szCs w:val="20"/>
        </w:rPr>
        <w:t xml:space="preserve">Se dispone el uso obligatorio a partir del 16/12/2019 del módulo "Transferencia" de la aplicación informática denominada “Trámites de Vehículos Automotores”, mediante el cual los contribuyentes o responsables deberán confeccionar el Formulario Único para Trámites de </w:t>
      </w:r>
      <w:proofErr w:type="spellStart"/>
      <w:r w:rsidRPr="00D86094">
        <w:rPr>
          <w:rFonts w:ascii="Arial" w:eastAsia="Times New Roman" w:hAnsi="Arial" w:cs="Arial"/>
          <w:b/>
          <w:bCs/>
          <w:color w:val="666666"/>
          <w:sz w:val="20"/>
          <w:szCs w:val="20"/>
        </w:rPr>
        <w:t>Patentamiento</w:t>
      </w:r>
      <w:proofErr w:type="spellEnd"/>
      <w:r w:rsidRPr="00D86094">
        <w:rPr>
          <w:rFonts w:ascii="Arial" w:eastAsia="Times New Roman" w:hAnsi="Arial" w:cs="Arial"/>
          <w:b/>
          <w:bCs/>
          <w:color w:val="666666"/>
          <w:sz w:val="20"/>
          <w:szCs w:val="20"/>
        </w:rPr>
        <w:t xml:space="preserve"> de Vehículos -F. 1057 Web-, con carácter de declaración jurada, para el trámite de transferencia de vehículos dentro de la Provincia -RG (API Santa Fe</w:t>
      </w:r>
      <w:r w:rsidR="00405A49">
        <w:rPr>
          <w:rFonts w:ascii="Arial" w:eastAsia="Times New Roman" w:hAnsi="Arial" w:cs="Arial"/>
          <w:b/>
          <w:bCs/>
          <w:color w:val="666666"/>
          <w:sz w:val="20"/>
          <w:szCs w:val="20"/>
        </w:rPr>
        <w:t>.</w:t>
      </w:r>
      <w:r w:rsidRPr="00D86094">
        <w:rPr>
          <w:rFonts w:ascii="Arial" w:eastAsia="Times New Roman" w:hAnsi="Arial" w:cs="Arial"/>
          <w:b/>
          <w:bCs/>
          <w:color w:val="666666"/>
          <w:sz w:val="20"/>
          <w:szCs w:val="20"/>
        </w:rPr>
        <w:t xml:space="preserve"> 18/2019</w:t>
      </w:r>
      <w:r>
        <w:rPr>
          <w:rFonts w:ascii="Arial" w:eastAsia="Times New Roman" w:hAnsi="Arial" w:cs="Arial"/>
          <w:b/>
          <w:bCs/>
          <w:color w:val="666666"/>
          <w:sz w:val="20"/>
          <w:szCs w:val="20"/>
        </w:rPr>
        <w:t>)</w:t>
      </w:r>
    </w:p>
    <w:p w:rsidR="00D86094" w:rsidRDefault="00D86094" w:rsidP="00D86094">
      <w:pPr>
        <w:pStyle w:val="NormalWeb"/>
        <w:spacing w:before="0" w:beforeAutospacing="0" w:after="0" w:afterAutospacing="0" w:line="360" w:lineRule="auto"/>
        <w:jc w:val="both"/>
        <w:rPr>
          <w:rFonts w:ascii="Arial" w:eastAsia="Times New Roman" w:hAnsi="Arial" w:cs="Arial"/>
          <w:b/>
          <w:bCs/>
          <w:color w:val="666666"/>
          <w:sz w:val="20"/>
          <w:szCs w:val="20"/>
        </w:rPr>
      </w:pPr>
    </w:p>
    <w:p w:rsidR="00CE400C" w:rsidRPr="00CE400C" w:rsidRDefault="00CE400C" w:rsidP="00CE400C">
      <w:pPr>
        <w:pStyle w:val="NormalWeb"/>
        <w:spacing w:before="0" w:beforeAutospacing="0" w:after="0" w:afterAutospacing="0"/>
        <w:jc w:val="center"/>
        <w:rPr>
          <w:rFonts w:ascii="Arial" w:hAnsi="Arial" w:cs="Arial"/>
          <w:b/>
          <w:bCs/>
          <w:caps/>
          <w:color w:val="7E4F6F"/>
          <w:sz w:val="28"/>
          <w:szCs w:val="28"/>
        </w:rPr>
      </w:pPr>
      <w:r w:rsidRPr="00CE400C">
        <w:rPr>
          <w:rFonts w:ascii="Arial" w:hAnsi="Arial" w:cs="Arial"/>
          <w:b/>
          <w:bCs/>
          <w:caps/>
          <w:color w:val="7E4F6F"/>
          <w:sz w:val="28"/>
          <w:szCs w:val="28"/>
        </w:rPr>
        <w:t>LABORALES - PREVISIONALES</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p>
    <w:p w:rsidR="00D86094" w:rsidRDefault="00D86094" w:rsidP="00A7476B">
      <w:pPr>
        <w:pStyle w:val="NormalWeb"/>
        <w:spacing w:before="0" w:beforeAutospacing="0" w:after="0" w:afterAutospacing="0" w:line="360" w:lineRule="auto"/>
        <w:jc w:val="both"/>
        <w:rPr>
          <w:rFonts w:ascii="Arial" w:hAnsi="Arial" w:cs="Arial"/>
          <w:b/>
          <w:bCs/>
          <w:caps/>
          <w:color w:val="7E4F6F"/>
          <w:sz w:val="22"/>
          <w:szCs w:val="22"/>
        </w:rPr>
      </w:pPr>
      <w:r>
        <w:rPr>
          <w:rFonts w:ascii="Arial" w:hAnsi="Arial" w:cs="Arial"/>
          <w:b/>
          <w:bCs/>
          <w:caps/>
          <w:color w:val="7E4F6F"/>
          <w:sz w:val="22"/>
          <w:szCs w:val="22"/>
        </w:rPr>
        <w:t>legislacion</w:t>
      </w:r>
    </w:p>
    <w:p w:rsidR="00D86094" w:rsidRDefault="00D86094" w:rsidP="00A7476B">
      <w:pPr>
        <w:pStyle w:val="NormalWeb"/>
        <w:spacing w:before="0" w:beforeAutospacing="0" w:after="0" w:afterAutospacing="0" w:line="360" w:lineRule="auto"/>
        <w:jc w:val="both"/>
        <w:rPr>
          <w:rFonts w:ascii="Arial" w:hAnsi="Arial" w:cs="Arial"/>
          <w:b/>
          <w:bCs/>
          <w:caps/>
          <w:color w:val="7E4F6F"/>
          <w:sz w:val="22"/>
          <w:szCs w:val="22"/>
        </w:rPr>
      </w:pPr>
    </w:p>
    <w:p w:rsidR="00D86094" w:rsidRDefault="00D86094" w:rsidP="00D86094">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Recursos de la Seguridad Social. Contribuciones patronales. Detracción total para empleadores de servicios de salud desde agosto de 2019: nuevos beneficiarios - </w:t>
      </w:r>
      <w:r w:rsidRPr="00D86094">
        <w:rPr>
          <w:rFonts w:ascii="Arial" w:hAnsi="Arial" w:cs="Arial"/>
          <w:b/>
          <w:bCs/>
          <w:caps/>
          <w:color w:val="7E4F6F"/>
          <w:sz w:val="21"/>
          <w:szCs w:val="21"/>
        </w:rPr>
        <w:t>DECRETO (Poder Ejecutivo) 867/2019</w:t>
      </w:r>
      <w:r>
        <w:rPr>
          <w:rFonts w:ascii="Arial" w:hAnsi="Arial" w:cs="Arial"/>
          <w:b/>
          <w:bCs/>
          <w:caps/>
          <w:color w:val="7E4F6F"/>
          <w:sz w:val="21"/>
          <w:szCs w:val="21"/>
        </w:rPr>
        <w:t>.</w:t>
      </w:r>
    </w:p>
    <w:p w:rsidR="00D86094" w:rsidRDefault="00D86094" w:rsidP="00D86094">
      <w:pPr>
        <w:pStyle w:val="NormalWeb"/>
        <w:spacing w:before="0" w:beforeAutospacing="0" w:after="0" w:afterAutospacing="0"/>
        <w:jc w:val="both"/>
        <w:rPr>
          <w:rFonts w:ascii="Arial" w:hAnsi="Arial" w:cs="Arial"/>
          <w:b/>
          <w:bCs/>
          <w:caps/>
          <w:color w:val="7E4F6F"/>
          <w:sz w:val="21"/>
          <w:szCs w:val="21"/>
        </w:rPr>
      </w:pPr>
    </w:p>
    <w:p w:rsidR="00D86094" w:rsidRPr="00D86094" w:rsidRDefault="00D86094" w:rsidP="00D86094">
      <w:pPr>
        <w:pStyle w:val="NormalWeb"/>
        <w:spacing w:before="0" w:beforeAutospacing="0" w:after="0" w:afterAutospacing="0" w:line="360" w:lineRule="auto"/>
        <w:jc w:val="both"/>
        <w:rPr>
          <w:rFonts w:ascii="Arial" w:eastAsia="Times New Roman" w:hAnsi="Arial" w:cs="Arial"/>
          <w:b/>
          <w:bCs/>
          <w:color w:val="666666"/>
          <w:sz w:val="20"/>
          <w:szCs w:val="20"/>
        </w:rPr>
      </w:pPr>
      <w:r w:rsidRPr="00D86094">
        <w:rPr>
          <w:rFonts w:ascii="Arial" w:eastAsia="Times New Roman" w:hAnsi="Arial" w:cs="Arial"/>
          <w:b/>
          <w:bCs/>
          <w:color w:val="666666"/>
          <w:sz w:val="20"/>
          <w:szCs w:val="20"/>
        </w:rPr>
        <w:t>El Ministerio de Salud y Desarrollo Social incorpora a los servicios de seguros de salud y asociaciones no clasificadas como beneficiarios de la detracción total sobre las contribuciones patronales</w:t>
      </w:r>
    </w:p>
    <w:p w:rsidR="00D86094" w:rsidRDefault="00D86094" w:rsidP="00A7476B">
      <w:pPr>
        <w:pStyle w:val="NormalWeb"/>
        <w:spacing w:before="0" w:beforeAutospacing="0" w:after="0" w:afterAutospacing="0" w:line="360" w:lineRule="auto"/>
        <w:jc w:val="both"/>
        <w:rPr>
          <w:rFonts w:ascii="Arial" w:hAnsi="Arial" w:cs="Arial"/>
          <w:b/>
          <w:bCs/>
          <w:caps/>
          <w:color w:val="7E4F6F"/>
          <w:sz w:val="22"/>
          <w:szCs w:val="22"/>
        </w:rPr>
      </w:pPr>
    </w:p>
    <w:p w:rsidR="00A7476B" w:rsidRPr="00D05D33" w:rsidRDefault="00D86094" w:rsidP="00A7476B">
      <w:pPr>
        <w:pStyle w:val="NormalWeb"/>
        <w:spacing w:before="0" w:beforeAutospacing="0" w:after="0" w:afterAutospacing="0" w:line="360" w:lineRule="auto"/>
        <w:jc w:val="both"/>
        <w:rPr>
          <w:rFonts w:ascii="Arial" w:hAnsi="Arial" w:cs="Arial"/>
          <w:b/>
          <w:bCs/>
          <w:caps/>
          <w:color w:val="7E4F6F"/>
          <w:sz w:val="22"/>
          <w:szCs w:val="22"/>
        </w:rPr>
      </w:pPr>
      <w:r>
        <w:rPr>
          <w:rFonts w:ascii="Arial" w:hAnsi="Arial" w:cs="Arial"/>
          <w:b/>
          <w:bCs/>
          <w:caps/>
          <w:color w:val="7E4F6F"/>
          <w:sz w:val="22"/>
          <w:szCs w:val="22"/>
        </w:rPr>
        <w:t>RECORDATORIOS</w:t>
      </w:r>
    </w:p>
    <w:p w:rsidR="00D86094" w:rsidRDefault="00D86094" w:rsidP="00D86094">
      <w:pPr>
        <w:pStyle w:val="NormalWeb"/>
        <w:spacing w:before="0" w:beforeAutospacing="0" w:after="0" w:afterAutospacing="0"/>
        <w:jc w:val="both"/>
        <w:rPr>
          <w:rFonts w:ascii="Arial" w:hAnsi="Arial" w:cs="Arial"/>
          <w:b/>
          <w:bCs/>
          <w:caps/>
          <w:color w:val="7E4F6F"/>
          <w:sz w:val="21"/>
          <w:szCs w:val="21"/>
        </w:rPr>
      </w:pPr>
    </w:p>
    <w:p w:rsidR="00D86094" w:rsidRDefault="00D86094" w:rsidP="00D86094">
      <w:pPr>
        <w:pStyle w:val="NormalWeb"/>
        <w:spacing w:before="0" w:beforeAutospacing="0" w:after="0" w:afterAutospacing="0"/>
        <w:jc w:val="both"/>
        <w:rPr>
          <w:rFonts w:ascii="Arial" w:hAnsi="Arial" w:cs="Arial"/>
          <w:b/>
          <w:bCs/>
          <w:caps/>
          <w:color w:val="7E4F6F"/>
          <w:sz w:val="21"/>
          <w:szCs w:val="21"/>
        </w:rPr>
      </w:pPr>
      <w:r w:rsidRPr="00D86094">
        <w:rPr>
          <w:rFonts w:ascii="Arial" w:hAnsi="Arial" w:cs="Arial"/>
          <w:b/>
          <w:bCs/>
          <w:caps/>
          <w:color w:val="7E4F6F"/>
          <w:sz w:val="21"/>
          <w:szCs w:val="21"/>
        </w:rPr>
        <w:t>SEGUNDA CUOTA DEL SAC 2019. FECHA DE PAGO, EL 18 DE DICIEMBRE</w:t>
      </w:r>
    </w:p>
    <w:p w:rsidR="00D86094" w:rsidRPr="00D86094" w:rsidRDefault="00D86094" w:rsidP="00D86094">
      <w:pPr>
        <w:pStyle w:val="NormalWeb"/>
        <w:spacing w:before="0" w:beforeAutospacing="0" w:after="0" w:afterAutospacing="0"/>
        <w:jc w:val="both"/>
        <w:rPr>
          <w:rFonts w:ascii="Arial" w:hAnsi="Arial" w:cs="Arial"/>
          <w:b/>
          <w:bCs/>
          <w:caps/>
          <w:color w:val="7E4F6F"/>
          <w:sz w:val="21"/>
          <w:szCs w:val="21"/>
        </w:rPr>
      </w:pPr>
    </w:p>
    <w:p w:rsidR="00D86094" w:rsidRDefault="00D86094" w:rsidP="00D86094">
      <w:pPr>
        <w:pStyle w:val="NormalWeb"/>
        <w:spacing w:before="0" w:beforeAutospacing="0" w:after="0" w:afterAutospacing="0" w:line="360" w:lineRule="auto"/>
        <w:jc w:val="both"/>
        <w:rPr>
          <w:rFonts w:ascii="Arial" w:eastAsia="Times New Roman" w:hAnsi="Arial" w:cs="Arial"/>
          <w:b/>
          <w:bCs/>
          <w:color w:val="666666"/>
          <w:sz w:val="20"/>
          <w:szCs w:val="20"/>
        </w:rPr>
      </w:pPr>
      <w:r>
        <w:rPr>
          <w:rFonts w:ascii="Arial" w:eastAsia="Times New Roman" w:hAnsi="Arial" w:cs="Arial"/>
          <w:b/>
          <w:bCs/>
          <w:color w:val="666666"/>
          <w:sz w:val="20"/>
          <w:szCs w:val="20"/>
        </w:rPr>
        <w:t>El</w:t>
      </w:r>
      <w:r w:rsidRPr="00D86094">
        <w:rPr>
          <w:rFonts w:ascii="Arial" w:eastAsia="Times New Roman" w:hAnsi="Arial" w:cs="Arial"/>
          <w:b/>
          <w:bCs/>
          <w:color w:val="666666"/>
          <w:sz w:val="20"/>
          <w:szCs w:val="20"/>
        </w:rPr>
        <w:t xml:space="preserve"> </w:t>
      </w:r>
      <w:hyperlink r:id="rId8" w:history="1">
        <w:r w:rsidRPr="00D86094">
          <w:rPr>
            <w:b/>
            <w:bCs/>
            <w:color w:val="666666"/>
            <w:sz w:val="20"/>
            <w:szCs w:val="20"/>
          </w:rPr>
          <w:t>artículo 122</w:t>
        </w:r>
      </w:hyperlink>
      <w:r w:rsidRPr="00D86094">
        <w:rPr>
          <w:rFonts w:ascii="Arial" w:eastAsia="Times New Roman" w:hAnsi="Arial" w:cs="Arial"/>
          <w:b/>
          <w:bCs/>
          <w:color w:val="666666"/>
          <w:sz w:val="20"/>
          <w:szCs w:val="20"/>
        </w:rPr>
        <w:t xml:space="preserve"> de la ley de contrato de trabajo dispone como fecha de pago de la segunda cuota del sueldo anual complementario el día 18 de diciembre de cada año</w:t>
      </w:r>
      <w:r>
        <w:rPr>
          <w:rFonts w:ascii="Arial" w:eastAsia="Times New Roman" w:hAnsi="Arial" w:cs="Arial"/>
          <w:b/>
          <w:bCs/>
          <w:color w:val="666666"/>
          <w:sz w:val="20"/>
          <w:szCs w:val="20"/>
        </w:rPr>
        <w:t>.</w:t>
      </w:r>
    </w:p>
    <w:p w:rsidR="00D86094" w:rsidRDefault="00D86094" w:rsidP="00D86094">
      <w:pPr>
        <w:pStyle w:val="NormalWeb"/>
        <w:spacing w:before="0" w:beforeAutospacing="0" w:after="0" w:afterAutospacing="0"/>
        <w:jc w:val="both"/>
        <w:rPr>
          <w:rFonts w:ascii="Arial" w:hAnsi="Arial" w:cs="Arial"/>
          <w:b/>
          <w:bCs/>
          <w:caps/>
          <w:color w:val="7E4F6F"/>
          <w:sz w:val="21"/>
          <w:szCs w:val="21"/>
        </w:rPr>
      </w:pPr>
    </w:p>
    <w:p w:rsidR="00D86094" w:rsidRDefault="00D86094" w:rsidP="00D86094">
      <w:pPr>
        <w:pStyle w:val="NormalWeb"/>
        <w:spacing w:before="0" w:beforeAutospacing="0" w:after="0" w:afterAutospacing="0"/>
        <w:jc w:val="both"/>
        <w:rPr>
          <w:rFonts w:ascii="Arial" w:hAnsi="Arial" w:cs="Arial"/>
          <w:b/>
          <w:bCs/>
          <w:caps/>
          <w:color w:val="7E4F6F"/>
          <w:sz w:val="21"/>
          <w:szCs w:val="21"/>
        </w:rPr>
      </w:pPr>
    </w:p>
    <w:p w:rsidR="00D86094" w:rsidRPr="00D86094" w:rsidRDefault="00D86094" w:rsidP="00D86094">
      <w:pPr>
        <w:pStyle w:val="NormalWeb"/>
        <w:spacing w:before="0" w:beforeAutospacing="0" w:after="0" w:afterAutospacing="0"/>
        <w:jc w:val="both"/>
        <w:rPr>
          <w:rFonts w:ascii="Arial" w:hAnsi="Arial" w:cs="Arial"/>
          <w:b/>
          <w:bCs/>
          <w:caps/>
          <w:color w:val="7E4F6F"/>
          <w:sz w:val="21"/>
          <w:szCs w:val="21"/>
        </w:rPr>
      </w:pPr>
      <w:r w:rsidRPr="00D86094">
        <w:rPr>
          <w:rFonts w:ascii="Arial" w:hAnsi="Arial" w:cs="Arial"/>
          <w:b/>
          <w:bCs/>
          <w:caps/>
          <w:color w:val="7E4F6F"/>
          <w:sz w:val="21"/>
          <w:szCs w:val="21"/>
        </w:rPr>
        <w:t>BASE DE CÁLCULO DEL SUELDO ANUAL COMPLEMENTARIO Y ANTICIPO DE VACACIONES</w:t>
      </w:r>
    </w:p>
    <w:p w:rsidR="00D86094" w:rsidRDefault="00D86094" w:rsidP="00D86094">
      <w:pPr>
        <w:jc w:val="center"/>
        <w:rPr>
          <w:rFonts w:ascii="Arial" w:eastAsia="Times New Roman" w:hAnsi="Arial" w:cs="Arial"/>
          <w:color w:val="666666"/>
          <w:sz w:val="14"/>
          <w:szCs w:val="14"/>
        </w:rPr>
      </w:pPr>
    </w:p>
    <w:p w:rsidR="00D86094" w:rsidRDefault="00D86094" w:rsidP="00D86094">
      <w:pPr>
        <w:pStyle w:val="NormalWeb"/>
        <w:spacing w:before="0" w:beforeAutospacing="0" w:after="0" w:afterAutospacing="0"/>
        <w:jc w:val="both"/>
        <w:rPr>
          <w:rFonts w:ascii="Arial" w:hAnsi="Arial" w:cs="Arial"/>
          <w:b/>
          <w:bCs/>
          <w:color w:val="7E4F6F"/>
          <w:sz w:val="20"/>
          <w:szCs w:val="20"/>
        </w:rPr>
      </w:pPr>
      <w:r w:rsidRPr="00D86094">
        <w:rPr>
          <w:rFonts w:ascii="Arial" w:hAnsi="Arial" w:cs="Arial"/>
          <w:b/>
          <w:bCs/>
          <w:color w:val="7E4F6F"/>
          <w:sz w:val="20"/>
          <w:szCs w:val="20"/>
        </w:rPr>
        <w:t>¿Cómo debe considerarse el anticipo vacacional abonado por el empleador a los efectos de la determinación de la base de cálculo del SAC?</w:t>
      </w:r>
    </w:p>
    <w:p w:rsidR="00D86094" w:rsidRPr="00D86094" w:rsidRDefault="00D86094" w:rsidP="00D86094">
      <w:pPr>
        <w:pStyle w:val="NormalWeb"/>
        <w:spacing w:before="0" w:beforeAutospacing="0" w:after="0" w:afterAutospacing="0"/>
        <w:jc w:val="both"/>
        <w:rPr>
          <w:rFonts w:ascii="Arial" w:hAnsi="Arial" w:cs="Arial"/>
          <w:b/>
          <w:bCs/>
          <w:color w:val="7E4F6F"/>
          <w:sz w:val="20"/>
          <w:szCs w:val="20"/>
        </w:rPr>
      </w:pPr>
    </w:p>
    <w:p w:rsidR="00D86094" w:rsidRDefault="00D86094" w:rsidP="00D86094">
      <w:pPr>
        <w:pStyle w:val="NormalWeb"/>
        <w:spacing w:before="0" w:beforeAutospacing="0" w:after="0" w:afterAutospacing="0" w:line="360" w:lineRule="auto"/>
        <w:jc w:val="both"/>
        <w:rPr>
          <w:rFonts w:ascii="Arial" w:eastAsia="Times New Roman" w:hAnsi="Arial" w:cs="Arial"/>
          <w:b/>
          <w:bCs/>
          <w:color w:val="666666"/>
          <w:sz w:val="20"/>
          <w:szCs w:val="20"/>
        </w:rPr>
      </w:pPr>
      <w:r w:rsidRPr="00D86094">
        <w:rPr>
          <w:rFonts w:ascii="Arial" w:eastAsia="Times New Roman" w:hAnsi="Arial" w:cs="Arial"/>
          <w:b/>
          <w:bCs/>
          <w:color w:val="666666"/>
          <w:sz w:val="20"/>
          <w:szCs w:val="20"/>
        </w:rPr>
        <w:lastRenderedPageBreak/>
        <w:t>El empleador debe abonar el anticipo vacacional del trabajador al inicio del período de vacaciones, el día hábil anterior al inicio de las mismas. Cuando las vacaciones transcurrieran de modo tal que se inician en un mes para prolongarse en mes siguiente, el trabajador “percibe” el anticipo vacacional correspondiente a todo el período -que comprende días de dos meses diferentes- en un solo pago.</w:t>
      </w:r>
    </w:p>
    <w:p w:rsidR="00D86094" w:rsidRDefault="00D86094" w:rsidP="00D86094">
      <w:pPr>
        <w:pStyle w:val="NormalWeb"/>
        <w:spacing w:before="0" w:beforeAutospacing="0" w:after="0" w:afterAutospacing="0" w:line="360" w:lineRule="auto"/>
        <w:jc w:val="both"/>
        <w:rPr>
          <w:rFonts w:ascii="Arial" w:eastAsia="Times New Roman" w:hAnsi="Arial" w:cs="Arial"/>
          <w:b/>
          <w:bCs/>
          <w:color w:val="666666"/>
          <w:sz w:val="20"/>
          <w:szCs w:val="20"/>
        </w:rPr>
      </w:pPr>
      <w:r w:rsidRPr="00D86094">
        <w:rPr>
          <w:rFonts w:ascii="Arial" w:eastAsia="Times New Roman" w:hAnsi="Arial" w:cs="Arial"/>
          <w:b/>
          <w:bCs/>
          <w:color w:val="666666"/>
          <w:sz w:val="20"/>
          <w:szCs w:val="20"/>
        </w:rPr>
        <w:t xml:space="preserve">No obstante, a los fines de la determinación de la base de cálculo del SAC, la retribución vacacional así abonada deberá considerarse en función de su “devengamiento”. Por consiguiente, deberán discriminarse los días de vacaciones de cada mes y tomar cada parte de la retribución vacacional con el resto de los días trabajados de cada mes respectivo, para así determinar la mejor remuneración mensual devengada por todo concepto durante el semestre respectivo. </w:t>
      </w:r>
    </w:p>
    <w:p w:rsidR="00D86094" w:rsidRDefault="00D86094" w:rsidP="00D86094">
      <w:pPr>
        <w:pStyle w:val="NormalWeb"/>
        <w:spacing w:before="0" w:beforeAutospacing="0" w:after="0" w:afterAutospacing="0" w:line="360" w:lineRule="auto"/>
        <w:jc w:val="both"/>
        <w:rPr>
          <w:rFonts w:ascii="Arial" w:eastAsia="Times New Roman" w:hAnsi="Arial" w:cs="Arial"/>
          <w:b/>
          <w:bCs/>
          <w:color w:val="666666"/>
          <w:sz w:val="20"/>
          <w:szCs w:val="20"/>
        </w:rPr>
      </w:pPr>
      <w:r w:rsidRPr="00D86094">
        <w:rPr>
          <w:rFonts w:ascii="Arial" w:eastAsia="Times New Roman" w:hAnsi="Arial" w:cs="Arial"/>
          <w:b/>
          <w:bCs/>
          <w:color w:val="666666"/>
          <w:sz w:val="20"/>
          <w:szCs w:val="20"/>
        </w:rPr>
        <w:t>De igual manera debería procederse si las vacaciones se iniciaran en un semestre y se prolongaran dentro del semestre siguiente, como cuando comienzan en el mes de diciembre y finalizan en enero.</w:t>
      </w:r>
    </w:p>
    <w:p w:rsidR="00D86094" w:rsidRDefault="00D86094" w:rsidP="00D86094">
      <w:pPr>
        <w:pStyle w:val="NormalWeb"/>
        <w:spacing w:before="0" w:beforeAutospacing="0" w:after="0" w:afterAutospacing="0" w:line="360" w:lineRule="auto"/>
        <w:jc w:val="both"/>
        <w:rPr>
          <w:rFonts w:ascii="Arial" w:eastAsia="Times New Roman" w:hAnsi="Arial" w:cs="Arial"/>
          <w:b/>
          <w:bCs/>
          <w:color w:val="666666"/>
          <w:sz w:val="20"/>
          <w:szCs w:val="20"/>
        </w:rPr>
      </w:pPr>
    </w:p>
    <w:p w:rsidR="00D86094" w:rsidRPr="00D86094" w:rsidRDefault="00D86094" w:rsidP="00D86094">
      <w:pPr>
        <w:pStyle w:val="NormalWeb"/>
        <w:spacing w:before="0" w:beforeAutospacing="0" w:after="0" w:afterAutospacing="0" w:line="360" w:lineRule="auto"/>
        <w:jc w:val="both"/>
        <w:rPr>
          <w:rFonts w:ascii="Arial" w:hAnsi="Arial" w:cs="Arial"/>
          <w:b/>
          <w:bCs/>
          <w:caps/>
          <w:color w:val="7E4F6F"/>
          <w:sz w:val="21"/>
          <w:szCs w:val="21"/>
        </w:rPr>
      </w:pPr>
      <w:r w:rsidRPr="00D86094">
        <w:rPr>
          <w:rFonts w:ascii="Arial" w:hAnsi="Arial" w:cs="Arial"/>
          <w:b/>
          <w:bCs/>
          <w:caps/>
          <w:color w:val="7E4F6F"/>
          <w:sz w:val="21"/>
          <w:szCs w:val="21"/>
        </w:rPr>
        <w:t>Personal de casas particulares: pago del aguinaldo de diciembre de 2019</w:t>
      </w:r>
    </w:p>
    <w:p w:rsidR="00D86094" w:rsidRDefault="00D86094" w:rsidP="00D86094">
      <w:pPr>
        <w:pStyle w:val="NormalWeb"/>
        <w:spacing w:before="0" w:beforeAutospacing="0" w:after="0" w:afterAutospacing="0"/>
        <w:jc w:val="both"/>
        <w:rPr>
          <w:rFonts w:ascii="Arial" w:hAnsi="Arial" w:cs="Arial"/>
          <w:b/>
          <w:bCs/>
          <w:caps/>
          <w:color w:val="7E4F6F"/>
          <w:sz w:val="18"/>
          <w:szCs w:val="18"/>
        </w:rPr>
      </w:pPr>
      <w:r>
        <w:rPr>
          <w:rFonts w:ascii="Arial" w:hAnsi="Arial" w:cs="Arial"/>
          <w:b/>
          <w:bCs/>
          <w:caps/>
          <w:color w:val="7E4F6F"/>
          <w:sz w:val="18"/>
          <w:szCs w:val="18"/>
        </w:rPr>
        <w:t>¿</w:t>
      </w:r>
      <w:r w:rsidRPr="00D86094">
        <w:rPr>
          <w:rFonts w:ascii="Arial" w:hAnsi="Arial" w:cs="Arial"/>
          <w:b/>
          <w:bCs/>
          <w:color w:val="7E4F6F"/>
          <w:sz w:val="20"/>
          <w:szCs w:val="20"/>
        </w:rPr>
        <w:t>Cómo se calcula y cuándo se abona la segunda cuota del sueldo anual complementario</w:t>
      </w:r>
      <w:r>
        <w:rPr>
          <w:rFonts w:ascii="Arial" w:hAnsi="Arial" w:cs="Arial"/>
          <w:b/>
          <w:bCs/>
          <w:caps/>
          <w:color w:val="7E4F6F"/>
          <w:sz w:val="18"/>
          <w:szCs w:val="18"/>
        </w:rPr>
        <w:t>?</w:t>
      </w:r>
    </w:p>
    <w:p w:rsidR="00D86094" w:rsidRDefault="00D86094" w:rsidP="00D86094">
      <w:pPr>
        <w:pStyle w:val="NormalWeb"/>
        <w:spacing w:before="0" w:beforeAutospacing="0" w:after="0" w:afterAutospacing="0"/>
        <w:jc w:val="both"/>
        <w:rPr>
          <w:rFonts w:ascii="Arial" w:hAnsi="Arial" w:cs="Arial"/>
          <w:b/>
          <w:bCs/>
          <w:caps/>
          <w:color w:val="7E4F6F"/>
          <w:sz w:val="18"/>
          <w:szCs w:val="18"/>
        </w:rPr>
      </w:pPr>
    </w:p>
    <w:p w:rsidR="00D86094" w:rsidRDefault="00D86094" w:rsidP="00D86094">
      <w:pPr>
        <w:pStyle w:val="NormalWeb"/>
        <w:spacing w:before="0" w:beforeAutospacing="0" w:after="0" w:afterAutospacing="0" w:line="360" w:lineRule="auto"/>
        <w:jc w:val="both"/>
        <w:rPr>
          <w:rFonts w:ascii="Arial" w:eastAsia="Times New Roman" w:hAnsi="Arial" w:cs="Arial"/>
          <w:b/>
          <w:bCs/>
          <w:color w:val="666666"/>
          <w:sz w:val="20"/>
          <w:szCs w:val="20"/>
        </w:rPr>
      </w:pPr>
      <w:r w:rsidRPr="00D86094">
        <w:rPr>
          <w:rFonts w:ascii="Arial" w:eastAsia="Times New Roman" w:hAnsi="Arial" w:cs="Arial"/>
          <w:b/>
          <w:bCs/>
          <w:color w:val="666666"/>
          <w:sz w:val="20"/>
          <w:szCs w:val="20"/>
        </w:rPr>
        <w:t xml:space="preserve">El sueldo anual complementario consiste en el 50% de la mayor remuneración mensual devengada, por todo concepto, dentro de los semestres que culminan en los meses de junio y diciembre de cada año, de acuerdo con lo establecido en la </w:t>
      </w:r>
      <w:hyperlink r:id="rId9" w:history="1">
        <w:r w:rsidRPr="00D86094">
          <w:rPr>
            <w:rFonts w:eastAsia="Times New Roman"/>
            <w:color w:val="666666"/>
            <w:sz w:val="20"/>
            <w:szCs w:val="20"/>
          </w:rPr>
          <w:t>ley 26844</w:t>
        </w:r>
      </w:hyperlink>
      <w:r w:rsidRPr="00D86094">
        <w:rPr>
          <w:rFonts w:ascii="Arial" w:eastAsia="Times New Roman" w:hAnsi="Arial" w:cs="Arial"/>
          <w:b/>
          <w:bCs/>
          <w:color w:val="666666"/>
          <w:sz w:val="20"/>
          <w:szCs w:val="20"/>
        </w:rPr>
        <w:t>.</w:t>
      </w:r>
    </w:p>
    <w:p w:rsidR="00D86094" w:rsidRDefault="00D86094" w:rsidP="00D86094">
      <w:pPr>
        <w:pStyle w:val="NormalWeb"/>
        <w:spacing w:before="0" w:beforeAutospacing="0" w:after="0" w:afterAutospacing="0" w:line="360" w:lineRule="auto"/>
        <w:jc w:val="both"/>
        <w:rPr>
          <w:rFonts w:ascii="Arial" w:eastAsia="Times New Roman" w:hAnsi="Arial" w:cs="Arial"/>
          <w:b/>
          <w:bCs/>
          <w:color w:val="666666"/>
          <w:sz w:val="20"/>
          <w:szCs w:val="20"/>
        </w:rPr>
      </w:pPr>
      <w:r w:rsidRPr="00D86094">
        <w:rPr>
          <w:rFonts w:ascii="Arial" w:eastAsia="Times New Roman" w:hAnsi="Arial" w:cs="Arial"/>
          <w:b/>
          <w:bCs/>
          <w:color w:val="666666"/>
          <w:sz w:val="20"/>
          <w:szCs w:val="20"/>
        </w:rPr>
        <w:t>El régimen legal no precisa qué sucede si la prestación de servicios es inferior a los 6 meses. En este caso, se aplica subsidiariamente la ley de contrato de trabajo, debiendo liquidarse en forma proporcional a los meses trabajados.</w:t>
      </w:r>
    </w:p>
    <w:p w:rsidR="00D86094" w:rsidRPr="00D86094" w:rsidRDefault="00D86094" w:rsidP="00D86094">
      <w:pPr>
        <w:pStyle w:val="NormalWeb"/>
        <w:spacing w:before="0" w:beforeAutospacing="0" w:after="0" w:afterAutospacing="0" w:line="360" w:lineRule="auto"/>
        <w:jc w:val="both"/>
        <w:rPr>
          <w:rFonts w:ascii="Arial" w:eastAsia="Times New Roman" w:hAnsi="Arial" w:cs="Arial"/>
          <w:b/>
          <w:bCs/>
          <w:color w:val="666666"/>
          <w:sz w:val="20"/>
          <w:szCs w:val="20"/>
        </w:rPr>
      </w:pPr>
      <w:r w:rsidRPr="00D86094">
        <w:rPr>
          <w:rFonts w:ascii="Arial" w:eastAsia="Times New Roman" w:hAnsi="Arial" w:cs="Arial"/>
          <w:b/>
          <w:bCs/>
          <w:color w:val="666666"/>
          <w:sz w:val="20"/>
          <w:szCs w:val="20"/>
        </w:rPr>
        <w:t>Respecto de la época de pago, de acuerdo con lo establecido en el artículo 27 de la ley 26844, la segunda cuota del sueldo anual complementario corresponde ser abonada en la última jornada laboral del mes de diciembre de cada año</w:t>
      </w:r>
    </w:p>
    <w:p w:rsidR="00D86094" w:rsidRDefault="00D86094" w:rsidP="00D86094">
      <w:pPr>
        <w:pStyle w:val="NormalWeb"/>
        <w:spacing w:before="0" w:beforeAutospacing="0" w:after="0" w:afterAutospacing="0"/>
        <w:jc w:val="both"/>
        <w:rPr>
          <w:rFonts w:ascii="Arial" w:hAnsi="Arial" w:cs="Arial"/>
          <w:b/>
          <w:bCs/>
          <w:caps/>
          <w:color w:val="7E4F6F"/>
          <w:sz w:val="18"/>
          <w:szCs w:val="18"/>
        </w:rPr>
      </w:pPr>
    </w:p>
    <w:p w:rsidR="00D86094" w:rsidRDefault="00D86094" w:rsidP="00D86094">
      <w:pPr>
        <w:pStyle w:val="NormalWeb"/>
        <w:spacing w:before="0" w:beforeAutospacing="0" w:after="0" w:afterAutospacing="0"/>
        <w:jc w:val="both"/>
        <w:rPr>
          <w:rFonts w:ascii="Arial" w:hAnsi="Arial" w:cs="Arial"/>
          <w:b/>
          <w:bCs/>
          <w:caps/>
          <w:color w:val="7E4F6F"/>
          <w:sz w:val="18"/>
          <w:szCs w:val="18"/>
        </w:rPr>
      </w:pPr>
    </w:p>
    <w:p w:rsidR="00963E21" w:rsidRDefault="00963E21" w:rsidP="00A7476B">
      <w:pPr>
        <w:pStyle w:val="NormalWeb"/>
        <w:spacing w:before="0" w:beforeAutospacing="0" w:after="0" w:afterAutospacing="0" w:line="360" w:lineRule="auto"/>
        <w:jc w:val="both"/>
        <w:rPr>
          <w:rFonts w:ascii="Arial" w:hAnsi="Arial" w:cs="Arial"/>
          <w:b/>
          <w:bCs/>
          <w:caps/>
          <w:color w:val="7E4F6F"/>
          <w:sz w:val="22"/>
          <w:szCs w:val="22"/>
        </w:rPr>
      </w:pPr>
      <w:r w:rsidRPr="00963E21">
        <w:rPr>
          <w:rFonts w:ascii="Arial" w:hAnsi="Arial" w:cs="Arial"/>
          <w:b/>
          <w:bCs/>
          <w:caps/>
          <w:color w:val="7E4F6F"/>
          <w:sz w:val="22"/>
          <w:szCs w:val="22"/>
        </w:rPr>
        <w:t>Jurisprudencia</w:t>
      </w:r>
    </w:p>
    <w:p w:rsidR="00CF5462" w:rsidRDefault="00CF5462" w:rsidP="00CF5462">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CONTRATO DE TRABAJO. IRREGULARIDAD REGISTRAL. RESPONSABILIDAD DE LOS SOCIOS. EXTENSIÓN. IMPROCEDENCIA</w:t>
      </w:r>
    </w:p>
    <w:p w:rsidR="00963E21" w:rsidRDefault="00963E21" w:rsidP="00963E21">
      <w:pPr>
        <w:pStyle w:val="NormalWeb"/>
        <w:spacing w:before="0" w:beforeAutospacing="0" w:after="0" w:afterAutospacing="0"/>
        <w:jc w:val="both"/>
        <w:rPr>
          <w:rFonts w:ascii="Arial" w:hAnsi="Arial" w:cs="Arial"/>
          <w:b/>
          <w:bCs/>
          <w:caps/>
          <w:color w:val="7E4F6F"/>
          <w:sz w:val="21"/>
          <w:szCs w:val="21"/>
        </w:rPr>
      </w:pPr>
    </w:p>
    <w:p w:rsidR="00CF5462" w:rsidRDefault="00CF5462" w:rsidP="00CF5462">
      <w:pPr>
        <w:pStyle w:val="NormalWeb"/>
        <w:spacing w:before="0" w:beforeAutospacing="0" w:after="0" w:afterAutospacing="0" w:line="360" w:lineRule="auto"/>
        <w:jc w:val="both"/>
        <w:rPr>
          <w:rFonts w:ascii="Arial" w:eastAsia="Times New Roman" w:hAnsi="Arial" w:cs="Arial"/>
          <w:b/>
          <w:bCs/>
          <w:color w:val="666666"/>
          <w:sz w:val="20"/>
          <w:szCs w:val="20"/>
        </w:rPr>
      </w:pPr>
      <w:r w:rsidRPr="00CF5462">
        <w:rPr>
          <w:rFonts w:ascii="Arial" w:eastAsia="Times New Roman" w:hAnsi="Arial" w:cs="Arial"/>
          <w:b/>
          <w:bCs/>
          <w:color w:val="666666"/>
          <w:sz w:val="20"/>
          <w:szCs w:val="20"/>
        </w:rPr>
        <w:t xml:space="preserve">La Corte Suprema de Justicia revocó la sentencia que extendió solidariamente la condena al socio de la empleadora en virtud de las irregularidades registradas, pues el codemandado poseía una participación accionaria irrelevante en la vida de la sociedad (el </w:t>
      </w:r>
      <w:r w:rsidRPr="00CF5462">
        <w:rPr>
          <w:rFonts w:ascii="Arial" w:eastAsia="Times New Roman" w:hAnsi="Arial" w:cs="Arial"/>
          <w:b/>
          <w:bCs/>
          <w:color w:val="666666"/>
          <w:sz w:val="20"/>
          <w:szCs w:val="20"/>
        </w:rPr>
        <w:lastRenderedPageBreak/>
        <w:t>1% del paquete accionario), no ejerció el cargo de director o administrador de la empresa, y se retiró antes del ingreso del actor.</w:t>
      </w:r>
    </w:p>
    <w:p w:rsidR="00CF5462" w:rsidRDefault="00CF5462" w:rsidP="00CF5462">
      <w:pPr>
        <w:pStyle w:val="NormalWeb"/>
        <w:spacing w:before="0" w:beforeAutospacing="0" w:after="0" w:afterAutospacing="0" w:line="360" w:lineRule="auto"/>
        <w:jc w:val="both"/>
        <w:rPr>
          <w:rFonts w:ascii="Arial" w:eastAsia="Times New Roman" w:hAnsi="Arial" w:cs="Arial"/>
          <w:b/>
          <w:bCs/>
          <w:color w:val="666666"/>
          <w:sz w:val="16"/>
          <w:szCs w:val="16"/>
        </w:rPr>
      </w:pPr>
      <w:r w:rsidRPr="00CF5462">
        <w:rPr>
          <w:rFonts w:ascii="Arial" w:eastAsia="Times New Roman" w:hAnsi="Arial" w:cs="Arial"/>
          <w:b/>
          <w:bCs/>
          <w:color w:val="666666"/>
          <w:sz w:val="20"/>
          <w:szCs w:val="20"/>
        </w:rPr>
        <w:t xml:space="preserve">Para así decidir, el voto del doctor </w:t>
      </w:r>
      <w:proofErr w:type="spellStart"/>
      <w:r w:rsidRPr="00CF5462">
        <w:rPr>
          <w:rFonts w:ascii="Arial" w:eastAsia="Times New Roman" w:hAnsi="Arial" w:cs="Arial"/>
          <w:b/>
          <w:bCs/>
          <w:color w:val="666666"/>
          <w:sz w:val="20"/>
          <w:szCs w:val="20"/>
        </w:rPr>
        <w:t>Rosenkrantz</w:t>
      </w:r>
      <w:proofErr w:type="spellEnd"/>
      <w:r w:rsidRPr="00CF5462">
        <w:rPr>
          <w:rFonts w:ascii="Arial" w:eastAsia="Times New Roman" w:hAnsi="Arial" w:cs="Arial"/>
          <w:b/>
          <w:bCs/>
          <w:color w:val="666666"/>
          <w:sz w:val="20"/>
          <w:szCs w:val="20"/>
        </w:rPr>
        <w:t xml:space="preserve"> destacó que la personalidad diferenciada de la sociedad y de sus administradores constituye el eje sobre el que se asienta la normativa sobre sociedades anónimas y que esta conforma un régimen especial que se explica porque aquellas constituyen una herramienta que el orden jurídico provee al comercio como uno de los principales motores de la economía. En ese marco, el Tribunal se ha encargado de destacar también que la atribución de responsabilidad personal a los socios y administradores de una sociedad, dados los propósitos del régimen general de la ley de sociedades y los principios que lo estructuran, procede de modo excepcional</w:t>
      </w:r>
      <w:r>
        <w:rPr>
          <w:rFonts w:ascii="Arial" w:eastAsia="Times New Roman" w:hAnsi="Arial" w:cs="Arial"/>
          <w:color w:val="666666"/>
          <w:sz w:val="20"/>
          <w:szCs w:val="20"/>
        </w:rPr>
        <w:t>.</w:t>
      </w:r>
      <w:r>
        <w:rPr>
          <w:rFonts w:ascii="Arial" w:eastAsia="Times New Roman" w:hAnsi="Arial" w:cs="Arial"/>
          <w:color w:val="666666"/>
          <w:sz w:val="17"/>
          <w:szCs w:val="17"/>
        </w:rPr>
        <w:t xml:space="preserve"> </w:t>
      </w:r>
      <w:r>
        <w:rPr>
          <w:rFonts w:ascii="Arial" w:eastAsia="Times New Roman" w:hAnsi="Arial" w:cs="Arial"/>
          <w:color w:val="666666"/>
          <w:sz w:val="17"/>
          <w:szCs w:val="17"/>
        </w:rPr>
        <w:br/>
      </w:r>
      <w:r w:rsidRPr="00CF5462">
        <w:rPr>
          <w:rFonts w:ascii="Arial" w:eastAsia="Times New Roman" w:hAnsi="Arial" w:cs="Arial"/>
          <w:b/>
          <w:bCs/>
          <w:color w:val="666666"/>
          <w:sz w:val="16"/>
          <w:szCs w:val="16"/>
        </w:rPr>
        <w:t>COLLANTES, GUSTAVO HORACIO C/CONSTRUBAR SA Y OTROS S/DESPIDO - CORTE SUP. JUST. NAC. - 26/11/2019</w:t>
      </w:r>
    </w:p>
    <w:p w:rsidR="00CF5462" w:rsidRPr="00CF5462" w:rsidRDefault="00CF5462" w:rsidP="00CF5462">
      <w:pPr>
        <w:pStyle w:val="NormalWeb"/>
        <w:spacing w:before="0" w:beforeAutospacing="0" w:after="0" w:afterAutospacing="0" w:line="360" w:lineRule="auto"/>
        <w:jc w:val="both"/>
        <w:rPr>
          <w:rFonts w:ascii="Arial" w:eastAsia="Times New Roman" w:hAnsi="Arial" w:cs="Arial"/>
          <w:b/>
          <w:bCs/>
          <w:color w:val="666666"/>
          <w:sz w:val="16"/>
          <w:szCs w:val="16"/>
        </w:rPr>
      </w:pPr>
    </w:p>
    <w:p w:rsidR="00CF5462" w:rsidRDefault="00CF5462" w:rsidP="00CF5462">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CONTRATO DE TRABAJO. EXISTENCIA. RELACIÓN DE PARENTESCO. TÍO EMPLEADOR</w:t>
      </w:r>
    </w:p>
    <w:p w:rsidR="00CF5462" w:rsidRDefault="00CF5462" w:rsidP="00CF5462">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p>
    <w:p w:rsidR="00CF5462" w:rsidRDefault="00CF5462" w:rsidP="00CF5462">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20"/>
          <w:szCs w:val="20"/>
        </w:rPr>
      </w:pPr>
      <w:r w:rsidRPr="00CF5462">
        <w:rPr>
          <w:rFonts w:ascii="Arial" w:eastAsia="Times New Roman" w:hAnsi="Arial" w:cs="Arial"/>
          <w:b/>
          <w:bCs/>
          <w:color w:val="666666"/>
          <w:sz w:val="20"/>
          <w:szCs w:val="20"/>
        </w:rPr>
        <w:t>Se confirma la sentencia que tuvo por acreditada la existencia de la relación de trabajo denunciada, dado que consideró que la prestación de servicios había quedado acreditada mediante la prueba testifical y activó la presunción del artículo 23 de la ley de contrato de trabajo, que no fue desvirtuada por la demandada.</w:t>
      </w:r>
    </w:p>
    <w:p w:rsidR="00CF5462" w:rsidRDefault="00CF5462" w:rsidP="00CF5462">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20"/>
          <w:szCs w:val="20"/>
        </w:rPr>
      </w:pPr>
      <w:r w:rsidRPr="00CF5462">
        <w:rPr>
          <w:rFonts w:ascii="Arial" w:eastAsia="Times New Roman" w:hAnsi="Arial" w:cs="Arial"/>
          <w:b/>
          <w:bCs/>
          <w:color w:val="666666"/>
          <w:sz w:val="20"/>
          <w:szCs w:val="20"/>
        </w:rPr>
        <w:t>En tal sentido, se aclaró que si bien no se soslayaba la declaración de quien refirió que la relación entre el actor y la demandada era relación de tío sobrino, ello no resulta suficiente para desvirtuar la presunción mencionada.</w:t>
      </w:r>
    </w:p>
    <w:p w:rsidR="00CF5462" w:rsidRDefault="00CF5462" w:rsidP="00CF5462">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16"/>
          <w:szCs w:val="16"/>
        </w:rPr>
      </w:pPr>
      <w:r w:rsidRPr="00CF5462">
        <w:rPr>
          <w:rFonts w:ascii="Arial" w:eastAsia="Times New Roman" w:hAnsi="Arial" w:cs="Arial"/>
          <w:b/>
          <w:bCs/>
          <w:color w:val="666666"/>
          <w:sz w:val="16"/>
          <w:szCs w:val="16"/>
        </w:rPr>
        <w:t>R., N. A. C/R. E., L. G. S/DESPIDO - CÁM. NAC. TRAB. - SALA I - 17/09/2019</w:t>
      </w:r>
    </w:p>
    <w:p w:rsidR="00CF5462" w:rsidRPr="00CF5462" w:rsidRDefault="00CF5462" w:rsidP="00CF5462">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16"/>
          <w:szCs w:val="16"/>
        </w:rPr>
      </w:pPr>
    </w:p>
    <w:p w:rsidR="00CF5462" w:rsidRDefault="00CF5462" w:rsidP="00CF5462">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CONTRATO DE TRABAJO. INEXISTENCIA. ACTOR SOCIO DE LA SRL DEMANDADA Y QUE CONFORMABA LA VOLUNTAD SOCIAL</w:t>
      </w:r>
    </w:p>
    <w:p w:rsidR="00CF5462" w:rsidRDefault="00CF5462" w:rsidP="00CF5462">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p>
    <w:p w:rsidR="00CF5462" w:rsidRDefault="00CF5462" w:rsidP="00CF5462">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20"/>
          <w:szCs w:val="20"/>
        </w:rPr>
      </w:pPr>
      <w:r w:rsidRPr="00CF5462">
        <w:rPr>
          <w:rFonts w:ascii="Arial" w:eastAsia="Times New Roman" w:hAnsi="Arial" w:cs="Arial"/>
          <w:b/>
          <w:bCs/>
          <w:color w:val="666666"/>
          <w:sz w:val="20"/>
          <w:szCs w:val="20"/>
        </w:rPr>
        <w:t xml:space="preserve">El actor cumplía diversas actividades relacionadas con el objeto social de la sociedad en su carácter de socio y por ello percibía dividendos, honorarios y reintegro de gastos -lo que coincide con lo que surge de la prueba informativa remitida por la IGJ-. </w:t>
      </w:r>
    </w:p>
    <w:p w:rsidR="00CF5462" w:rsidRDefault="00CF5462" w:rsidP="00CF5462">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20"/>
          <w:szCs w:val="20"/>
        </w:rPr>
      </w:pPr>
      <w:r w:rsidRPr="00CF5462">
        <w:rPr>
          <w:rFonts w:ascii="Arial" w:eastAsia="Times New Roman" w:hAnsi="Arial" w:cs="Arial"/>
          <w:b/>
          <w:bCs/>
          <w:color w:val="666666"/>
          <w:sz w:val="20"/>
          <w:szCs w:val="20"/>
        </w:rPr>
        <w:t xml:space="preserve">Asimismo, no se encuentra acreditado por ningún medio que la actividad desarrollada por el actor se haya llevado a cabo con sujeción a una potestad jurídica ajena a cargo de la demandada, pues es evidente que su voluntad era constitutiva del poder de dirección y organización bajo el cual se desenvolvía la actividad de la sociedad. La prestación de servicios susceptible de ser considerada como objeto de un contrato de trabajo consiste únicamente en la puesta a disposición de la capacidad de trabajo de una persona en favor y en beneficio de una organización empresaria ajena; y de allí que la doctrina, utilizando la </w:t>
      </w:r>
      <w:r w:rsidRPr="00CF5462">
        <w:rPr>
          <w:rFonts w:ascii="Arial" w:eastAsia="Times New Roman" w:hAnsi="Arial" w:cs="Arial"/>
          <w:b/>
          <w:bCs/>
          <w:color w:val="666666"/>
          <w:sz w:val="20"/>
          <w:szCs w:val="20"/>
        </w:rPr>
        <w:lastRenderedPageBreak/>
        <w:t xml:space="preserve">distinción efectuada por calificados autores españoles, la haya caracterizado en función de la “ajenidad en los frutos” o de la “ajenidad en los riesgos”. </w:t>
      </w:r>
    </w:p>
    <w:p w:rsidR="00CF5462" w:rsidRDefault="00CF5462" w:rsidP="00CF5462">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16"/>
          <w:szCs w:val="16"/>
        </w:rPr>
      </w:pPr>
      <w:r w:rsidRPr="00CF5462">
        <w:rPr>
          <w:rFonts w:ascii="Arial" w:eastAsia="Times New Roman" w:hAnsi="Arial" w:cs="Arial"/>
          <w:b/>
          <w:bCs/>
          <w:color w:val="666666"/>
          <w:sz w:val="16"/>
          <w:szCs w:val="16"/>
        </w:rPr>
        <w:t>TURDO, MIGUEL ESTEBAN C/EMPRESA DE PROYECTOS MANAGEMENT Y GERENCIA EPMG SRL S/COBRO DE SALARIOS - CÁM. NAC. TRAB. - SALA V - 18/09/2019</w:t>
      </w:r>
    </w:p>
    <w:p w:rsidR="00CF5462" w:rsidRDefault="00CF5462" w:rsidP="00CF5462">
      <w:pPr>
        <w:pStyle w:val="NormalWeb"/>
        <w:shd w:val="clear" w:color="auto" w:fill="FDE9D9" w:themeFill="accent6" w:themeFillTint="33"/>
        <w:spacing w:before="0" w:beforeAutospacing="0" w:after="0" w:afterAutospacing="0" w:line="360" w:lineRule="auto"/>
        <w:jc w:val="both"/>
        <w:rPr>
          <w:rFonts w:ascii="Arial" w:hAnsi="Arial" w:cs="Arial"/>
          <w:b/>
          <w:bCs/>
          <w:caps/>
          <w:color w:val="7E4F6F"/>
          <w:sz w:val="21"/>
          <w:szCs w:val="21"/>
        </w:rPr>
      </w:pPr>
    </w:p>
    <w:p w:rsidR="00CF5462" w:rsidRDefault="00CF5462" w:rsidP="00CF5462">
      <w:pPr>
        <w:pStyle w:val="NormalWeb"/>
        <w:shd w:val="clear" w:color="auto" w:fill="FDE9D9" w:themeFill="accent6" w:themeFillTint="33"/>
        <w:spacing w:before="0" w:beforeAutospacing="0" w:after="0" w:afterAutospacing="0" w:line="360" w:lineRule="auto"/>
        <w:jc w:val="both"/>
        <w:rPr>
          <w:rFonts w:ascii="Arial" w:hAnsi="Arial" w:cs="Arial"/>
          <w:b/>
          <w:bCs/>
          <w:caps/>
          <w:color w:val="7E4F6F"/>
          <w:sz w:val="21"/>
          <w:szCs w:val="21"/>
        </w:rPr>
      </w:pPr>
      <w:r>
        <w:rPr>
          <w:rFonts w:ascii="Arial" w:hAnsi="Arial" w:cs="Arial"/>
          <w:b/>
          <w:bCs/>
          <w:caps/>
          <w:color w:val="7E4F6F"/>
          <w:sz w:val="21"/>
          <w:szCs w:val="21"/>
        </w:rPr>
        <w:t>EXTINCIÓN DEL CONTRATO DE TRABAJO. GRUPO ECONÓMICO. RESPONSABILIDAD SOLIDARIA. INEXISTENCIA</w:t>
      </w:r>
    </w:p>
    <w:p w:rsidR="00CF5462" w:rsidRDefault="00CF5462" w:rsidP="00CF5462">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20"/>
          <w:szCs w:val="20"/>
        </w:rPr>
      </w:pPr>
      <w:r w:rsidRPr="00CF5462">
        <w:rPr>
          <w:rFonts w:ascii="Arial" w:eastAsia="Times New Roman" w:hAnsi="Arial" w:cs="Arial"/>
          <w:b/>
          <w:bCs/>
          <w:color w:val="666666"/>
          <w:sz w:val="20"/>
          <w:szCs w:val="20"/>
        </w:rPr>
        <w:t>Excepcionalmente, el conjunto económico es solidariamente responsable, aun en el caso de no haber sido formalmente empleador del trabajador, cuando se verifiquen maniobras fraudulentas (por ejemplo, empleo no registrado, que aparezca el trabajador como empleado de una empresa en la cual efectivamente no presta servicios) y conducción temeraria (el vaciamiento de una de las empresas que conforman el conjunto económico).</w:t>
      </w:r>
    </w:p>
    <w:p w:rsidR="00CF5462" w:rsidRDefault="00CF5462" w:rsidP="00CF5462">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20"/>
          <w:szCs w:val="20"/>
        </w:rPr>
      </w:pPr>
      <w:r w:rsidRPr="00CF5462">
        <w:rPr>
          <w:rFonts w:ascii="Arial" w:eastAsia="Times New Roman" w:hAnsi="Arial" w:cs="Arial"/>
          <w:b/>
          <w:bCs/>
          <w:color w:val="666666"/>
          <w:sz w:val="20"/>
          <w:szCs w:val="20"/>
        </w:rPr>
        <w:t xml:space="preserve">En tal sentido, se rechaza la demanda por despido interpuesta por la trabajadora, debido a que no acreditó el fraude laboral imputado al grupo económico demandado. El tribunal explicó que los conjuntos económicos son legítimos en tanto no dañen a terceros y/o desconozcan derechos laborales bajo formas fraudulentas. Además, destacó que el fraude laboral es requisito esencial para que se configure la responsabilidad establecida en el artículo 31 de la ley de contrato de trabajo, pero que no es necesario demostrar el dolo del empleador, sino que es suficiente que su conducta denote la violación de las normas del derecho del trabajo; sin embargo, en el presente caso, la actora no logró demostrar la supuesta fragmentación de antigüedad alegada. </w:t>
      </w:r>
    </w:p>
    <w:p w:rsidR="00CF5462" w:rsidRDefault="00CF5462" w:rsidP="00CF5462">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16"/>
          <w:szCs w:val="16"/>
        </w:rPr>
      </w:pPr>
      <w:r w:rsidRPr="00CF5462">
        <w:rPr>
          <w:rFonts w:ascii="Arial" w:eastAsia="Times New Roman" w:hAnsi="Arial" w:cs="Arial"/>
          <w:b/>
          <w:bCs/>
          <w:color w:val="666666"/>
          <w:sz w:val="16"/>
          <w:szCs w:val="16"/>
        </w:rPr>
        <w:t>VÁZQUEZ, BRUNILDA EDITH C/PLAZA HUINCUL SA Y OTRO S/DESPIDO Y COBRO DE HABERES - CÁM. CIV. COM. LAB. Y MIN. - NEUQUÉN - SALA I - 03/09/2019</w:t>
      </w:r>
    </w:p>
    <w:p w:rsidR="00963E21" w:rsidRDefault="00963E21" w:rsidP="00CF5462">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16"/>
          <w:szCs w:val="16"/>
        </w:rPr>
      </w:pPr>
    </w:p>
    <w:p w:rsidR="00CF5462" w:rsidRPr="00CF5462" w:rsidRDefault="00CF5462" w:rsidP="00CF5462">
      <w:pPr>
        <w:pStyle w:val="NormalWeb"/>
        <w:shd w:val="clear" w:color="auto" w:fill="FDE9D9" w:themeFill="accent6" w:themeFillTint="33"/>
        <w:spacing w:before="0" w:beforeAutospacing="0" w:after="0" w:afterAutospacing="0" w:line="360" w:lineRule="auto"/>
        <w:jc w:val="center"/>
        <w:rPr>
          <w:rFonts w:ascii="Arial" w:hAnsi="Arial" w:cs="Arial"/>
          <w:b/>
          <w:bCs/>
          <w:caps/>
          <w:color w:val="7F870A"/>
        </w:rPr>
      </w:pPr>
      <w:r>
        <w:rPr>
          <w:rFonts w:ascii="Arial" w:hAnsi="Arial" w:cs="Arial"/>
          <w:b/>
          <w:bCs/>
          <w:caps/>
          <w:color w:val="7F870A"/>
        </w:rPr>
        <w:t>Sociedades</w:t>
      </w:r>
    </w:p>
    <w:p w:rsidR="00CF5462" w:rsidRDefault="00CF5462" w:rsidP="00CF5462">
      <w:pPr>
        <w:pStyle w:val="NormalWeb"/>
        <w:shd w:val="clear" w:color="auto" w:fill="FDE9D9" w:themeFill="accent6" w:themeFillTint="33"/>
        <w:spacing w:before="0" w:beforeAutospacing="0" w:after="0" w:afterAutospacing="0" w:line="360" w:lineRule="auto"/>
        <w:jc w:val="both"/>
        <w:rPr>
          <w:rFonts w:ascii="Arial" w:hAnsi="Arial" w:cs="Arial"/>
          <w:b/>
          <w:bCs/>
          <w:caps/>
          <w:color w:val="7F870A"/>
          <w:sz w:val="18"/>
          <w:szCs w:val="18"/>
        </w:rPr>
      </w:pPr>
    </w:p>
    <w:p w:rsidR="00CF5462" w:rsidRDefault="00CF5462" w:rsidP="00CF5462">
      <w:pPr>
        <w:pStyle w:val="NormalWeb"/>
        <w:shd w:val="clear" w:color="auto" w:fill="FDE9D9" w:themeFill="accent6" w:themeFillTint="33"/>
        <w:spacing w:before="0" w:beforeAutospacing="0" w:after="0" w:afterAutospacing="0" w:line="360" w:lineRule="auto"/>
        <w:jc w:val="both"/>
        <w:rPr>
          <w:rFonts w:ascii="Arial" w:hAnsi="Arial" w:cs="Arial"/>
          <w:b/>
          <w:bCs/>
          <w:caps/>
          <w:color w:val="7F870A"/>
          <w:sz w:val="20"/>
          <w:szCs w:val="20"/>
        </w:rPr>
      </w:pPr>
      <w:r w:rsidRPr="00CF5462">
        <w:rPr>
          <w:rFonts w:ascii="Arial" w:hAnsi="Arial" w:cs="Arial"/>
          <w:b/>
          <w:bCs/>
          <w:caps/>
          <w:color w:val="7F870A"/>
          <w:sz w:val="20"/>
          <w:szCs w:val="20"/>
        </w:rPr>
        <w:t xml:space="preserve">Se actualizan los límites de facturación anual de las micro, pequeñas y medianas empresas.  RESOLUCIÓN (Sec. Emprendedores y de la Pequeña y Mediana Empresa) 563/2019 </w:t>
      </w:r>
      <w:r>
        <w:rPr>
          <w:rFonts w:ascii="Arial" w:hAnsi="Arial" w:cs="Arial"/>
          <w:b/>
          <w:bCs/>
          <w:caps/>
          <w:color w:val="7F870A"/>
          <w:sz w:val="20"/>
          <w:szCs w:val="20"/>
        </w:rPr>
        <w:t>–</w:t>
      </w:r>
      <w:r w:rsidRPr="00CF5462">
        <w:rPr>
          <w:rFonts w:ascii="Arial" w:hAnsi="Arial" w:cs="Arial"/>
          <w:b/>
          <w:bCs/>
          <w:caps/>
          <w:color w:val="7F870A"/>
          <w:sz w:val="20"/>
          <w:szCs w:val="20"/>
        </w:rPr>
        <w:t xml:space="preserve"> </w:t>
      </w:r>
      <w:r>
        <w:rPr>
          <w:rFonts w:ascii="Arial" w:hAnsi="Arial" w:cs="Arial"/>
          <w:b/>
          <w:bCs/>
          <w:caps/>
          <w:color w:val="7F870A"/>
          <w:sz w:val="20"/>
          <w:szCs w:val="20"/>
        </w:rPr>
        <w:t>10/12/19</w:t>
      </w:r>
    </w:p>
    <w:p w:rsidR="00CF5462" w:rsidRDefault="00CF5462" w:rsidP="00CF5462">
      <w:pPr>
        <w:pStyle w:val="NormalWeb"/>
        <w:shd w:val="clear" w:color="auto" w:fill="FDE9D9" w:themeFill="accent6" w:themeFillTint="33"/>
        <w:spacing w:before="0" w:beforeAutospacing="0" w:after="0" w:afterAutospacing="0" w:line="360" w:lineRule="auto"/>
        <w:jc w:val="both"/>
        <w:rPr>
          <w:rFonts w:ascii="Arial" w:hAnsi="Arial" w:cs="Arial"/>
          <w:b/>
          <w:bCs/>
          <w:caps/>
          <w:color w:val="7F870A"/>
          <w:sz w:val="20"/>
          <w:szCs w:val="20"/>
        </w:rPr>
      </w:pPr>
    </w:p>
    <w:p w:rsidR="00CF5462" w:rsidRDefault="00CF5462" w:rsidP="00CF5462">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20"/>
          <w:szCs w:val="20"/>
        </w:rPr>
      </w:pPr>
      <w:r w:rsidRPr="00CF5462">
        <w:rPr>
          <w:rFonts w:ascii="Arial" w:eastAsia="Times New Roman" w:hAnsi="Arial" w:cs="Arial"/>
          <w:b/>
          <w:bCs/>
          <w:color w:val="666666"/>
          <w:sz w:val="20"/>
          <w:szCs w:val="20"/>
        </w:rPr>
        <w:t>La Secretaría de Emprendedores y de la Pequeña y Mediana Empresa actualiza los límites de facturación anual de las micro, pequeñas y medianas empresas</w:t>
      </w:r>
      <w:r>
        <w:rPr>
          <w:rFonts w:ascii="Arial" w:eastAsia="Times New Roman" w:hAnsi="Arial" w:cs="Arial"/>
          <w:b/>
          <w:bCs/>
          <w:color w:val="666666"/>
          <w:sz w:val="20"/>
          <w:szCs w:val="20"/>
        </w:rPr>
        <w:t>.</w:t>
      </w:r>
    </w:p>
    <w:p w:rsidR="00CF5462" w:rsidRDefault="00CF5462" w:rsidP="00CF5462">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20"/>
          <w:szCs w:val="20"/>
        </w:rPr>
      </w:pPr>
    </w:p>
    <w:tbl>
      <w:tblPr>
        <w:tblW w:w="4883" w:type="pct"/>
        <w:tblCellSpacing w:w="15" w:type="dxa"/>
        <w:tblBorders>
          <w:top w:val="single" w:sz="12" w:space="0" w:color="000000"/>
          <w:left w:val="single" w:sz="12" w:space="0" w:color="000000"/>
          <w:bottom w:val="single" w:sz="12" w:space="0" w:color="000000"/>
          <w:right w:val="single" w:sz="12" w:space="0" w:color="000000"/>
        </w:tblBorders>
        <w:shd w:val="clear" w:color="auto" w:fill="F9F9F9"/>
        <w:tblCellMar>
          <w:top w:w="15" w:type="dxa"/>
          <w:left w:w="15" w:type="dxa"/>
          <w:bottom w:w="15" w:type="dxa"/>
          <w:right w:w="15" w:type="dxa"/>
        </w:tblCellMar>
        <w:tblLook w:val="04A0"/>
      </w:tblPr>
      <w:tblGrid>
        <w:gridCol w:w="1648"/>
        <w:gridCol w:w="1319"/>
        <w:gridCol w:w="1250"/>
        <w:gridCol w:w="1406"/>
        <w:gridCol w:w="1796"/>
        <w:gridCol w:w="1369"/>
      </w:tblGrid>
      <w:tr w:rsidR="00CF5462" w:rsidRPr="00CF5462" w:rsidTr="00CF5462">
        <w:trPr>
          <w:trHeight w:val="295"/>
          <w:tblCellSpacing w:w="15" w:type="dxa"/>
        </w:trPr>
        <w:tc>
          <w:tcPr>
            <w:tcW w:w="0" w:type="auto"/>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CF5462" w:rsidRPr="00CF5462" w:rsidRDefault="00CF5462" w:rsidP="00340464">
            <w:pPr>
              <w:spacing w:before="100" w:beforeAutospacing="1" w:after="100" w:afterAutospacing="1"/>
              <w:rPr>
                <w:rFonts w:eastAsia="Times New Roman"/>
                <w:sz w:val="18"/>
                <w:szCs w:val="18"/>
                <w:lang w:val="es-AR" w:eastAsia="es-AR"/>
              </w:rPr>
            </w:pPr>
            <w:r w:rsidRPr="00CF5462">
              <w:rPr>
                <w:rFonts w:eastAsia="Times New Roman"/>
                <w:sz w:val="18"/>
                <w:szCs w:val="18"/>
                <w:lang w:val="es-AR" w:eastAsia="es-AR"/>
              </w:rPr>
              <w:t>Categoría</w:t>
            </w:r>
          </w:p>
        </w:tc>
        <w:tc>
          <w:tcPr>
            <w:tcW w:w="0" w:type="auto"/>
            <w:gridSpan w:val="5"/>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CF5462" w:rsidRPr="00CF5462" w:rsidRDefault="00CF5462" w:rsidP="00340464">
            <w:pPr>
              <w:spacing w:before="100" w:beforeAutospacing="1" w:after="100" w:afterAutospacing="1"/>
              <w:rPr>
                <w:rFonts w:eastAsia="Times New Roman"/>
                <w:sz w:val="18"/>
                <w:szCs w:val="18"/>
                <w:lang w:val="es-AR" w:eastAsia="es-AR"/>
              </w:rPr>
            </w:pPr>
            <w:r w:rsidRPr="00CF5462">
              <w:rPr>
                <w:rFonts w:eastAsia="Times New Roman"/>
                <w:sz w:val="18"/>
                <w:szCs w:val="18"/>
                <w:lang w:val="es-AR" w:eastAsia="es-AR"/>
              </w:rPr>
              <w:t>Sector de actividad</w:t>
            </w:r>
          </w:p>
        </w:tc>
      </w:tr>
      <w:tr w:rsidR="00CF5462" w:rsidRPr="00CF5462" w:rsidTr="00CF5462">
        <w:trPr>
          <w:trHeight w:val="141"/>
          <w:tblCellSpacing w:w="15" w:type="dxa"/>
        </w:trPr>
        <w:tc>
          <w:tcPr>
            <w:tcW w:w="0" w:type="auto"/>
            <w:vMerge/>
            <w:tcBorders>
              <w:top w:val="single" w:sz="12" w:space="0" w:color="000000"/>
              <w:left w:val="single" w:sz="6" w:space="0" w:color="000000"/>
              <w:bottom w:val="single" w:sz="6" w:space="0" w:color="000000"/>
              <w:right w:val="single" w:sz="6" w:space="0" w:color="000000"/>
            </w:tcBorders>
            <w:shd w:val="clear" w:color="auto" w:fill="F9F9F9"/>
            <w:vAlign w:val="center"/>
            <w:hideMark/>
          </w:tcPr>
          <w:p w:rsidR="00CF5462" w:rsidRPr="00CF5462" w:rsidRDefault="00CF5462" w:rsidP="00340464">
            <w:pPr>
              <w:rPr>
                <w:rFonts w:eastAsia="Times New Roman"/>
                <w:sz w:val="18"/>
                <w:szCs w:val="18"/>
                <w:lang w:val="es-AR" w:eastAsia="es-AR"/>
              </w:rPr>
            </w:pP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CF5462" w:rsidRPr="00CF5462" w:rsidRDefault="00CF5462" w:rsidP="00340464">
            <w:pPr>
              <w:spacing w:before="100" w:beforeAutospacing="1" w:after="100" w:afterAutospacing="1"/>
              <w:rPr>
                <w:rFonts w:eastAsia="Times New Roman"/>
                <w:sz w:val="18"/>
                <w:szCs w:val="18"/>
                <w:lang w:val="es-AR" w:eastAsia="es-AR"/>
              </w:rPr>
            </w:pPr>
            <w:r w:rsidRPr="00CF5462">
              <w:rPr>
                <w:rFonts w:eastAsia="Times New Roman"/>
                <w:sz w:val="18"/>
                <w:szCs w:val="18"/>
                <w:lang w:val="es-AR" w:eastAsia="es-AR"/>
              </w:rPr>
              <w:t>Construcción</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CF5462" w:rsidRPr="00CF5462" w:rsidRDefault="00CF5462" w:rsidP="00340464">
            <w:pPr>
              <w:spacing w:before="100" w:beforeAutospacing="1" w:after="100" w:afterAutospacing="1"/>
              <w:rPr>
                <w:rFonts w:eastAsia="Times New Roman"/>
                <w:sz w:val="18"/>
                <w:szCs w:val="18"/>
                <w:lang w:val="es-AR" w:eastAsia="es-AR"/>
              </w:rPr>
            </w:pPr>
            <w:r w:rsidRPr="00CF5462">
              <w:rPr>
                <w:rFonts w:eastAsia="Times New Roman"/>
                <w:sz w:val="18"/>
                <w:szCs w:val="18"/>
                <w:lang w:val="es-AR" w:eastAsia="es-AR"/>
              </w:rPr>
              <w:t>Servicios</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CF5462" w:rsidRPr="00CF5462" w:rsidRDefault="00CF5462" w:rsidP="00340464">
            <w:pPr>
              <w:spacing w:before="100" w:beforeAutospacing="1" w:after="100" w:afterAutospacing="1"/>
              <w:rPr>
                <w:rFonts w:eastAsia="Times New Roman"/>
                <w:sz w:val="18"/>
                <w:szCs w:val="18"/>
                <w:lang w:val="es-AR" w:eastAsia="es-AR"/>
              </w:rPr>
            </w:pPr>
            <w:r w:rsidRPr="00CF5462">
              <w:rPr>
                <w:rFonts w:eastAsia="Times New Roman"/>
                <w:sz w:val="18"/>
                <w:szCs w:val="18"/>
                <w:lang w:val="es-AR" w:eastAsia="es-AR"/>
              </w:rPr>
              <w:t>Comercio</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CF5462" w:rsidRPr="00CF5462" w:rsidRDefault="00CF5462" w:rsidP="00340464">
            <w:pPr>
              <w:spacing w:before="100" w:beforeAutospacing="1" w:after="100" w:afterAutospacing="1"/>
              <w:rPr>
                <w:rFonts w:eastAsia="Times New Roman"/>
                <w:sz w:val="18"/>
                <w:szCs w:val="18"/>
                <w:lang w:val="es-AR" w:eastAsia="es-AR"/>
              </w:rPr>
            </w:pPr>
            <w:r w:rsidRPr="00CF5462">
              <w:rPr>
                <w:rFonts w:eastAsia="Times New Roman"/>
                <w:sz w:val="18"/>
                <w:szCs w:val="18"/>
                <w:lang w:val="es-AR" w:eastAsia="es-AR"/>
              </w:rPr>
              <w:t>Industria y minería</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CF5462" w:rsidRPr="00CF5462" w:rsidRDefault="00CF5462" w:rsidP="00340464">
            <w:pPr>
              <w:spacing w:before="100" w:beforeAutospacing="1" w:after="100" w:afterAutospacing="1"/>
              <w:rPr>
                <w:rFonts w:eastAsia="Times New Roman"/>
                <w:sz w:val="18"/>
                <w:szCs w:val="18"/>
                <w:lang w:val="es-AR" w:eastAsia="es-AR"/>
              </w:rPr>
            </w:pPr>
            <w:r w:rsidRPr="00CF5462">
              <w:rPr>
                <w:rFonts w:eastAsia="Times New Roman"/>
                <w:sz w:val="18"/>
                <w:szCs w:val="18"/>
                <w:lang w:val="es-AR" w:eastAsia="es-AR"/>
              </w:rPr>
              <w:t>Agropecuario</w:t>
            </w:r>
          </w:p>
        </w:tc>
      </w:tr>
      <w:tr w:rsidR="00CF5462" w:rsidRPr="00CF5462" w:rsidTr="00CF5462">
        <w:trPr>
          <w:trHeight w:val="192"/>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9F9F9"/>
            <w:tcMar>
              <w:top w:w="60" w:type="dxa"/>
              <w:left w:w="60" w:type="dxa"/>
              <w:bottom w:w="60" w:type="dxa"/>
              <w:right w:w="60" w:type="dxa"/>
            </w:tcMar>
            <w:vAlign w:val="center"/>
            <w:hideMark/>
          </w:tcPr>
          <w:p w:rsidR="00CF5462" w:rsidRPr="00CF5462" w:rsidRDefault="00CF5462" w:rsidP="00340464">
            <w:pPr>
              <w:spacing w:before="100" w:beforeAutospacing="1" w:after="100" w:afterAutospacing="1"/>
              <w:rPr>
                <w:rFonts w:eastAsia="Times New Roman"/>
                <w:sz w:val="18"/>
                <w:szCs w:val="18"/>
                <w:lang w:val="es-AR" w:eastAsia="es-AR"/>
              </w:rPr>
            </w:pPr>
            <w:r w:rsidRPr="00CF5462">
              <w:rPr>
                <w:rFonts w:eastAsia="Times New Roman"/>
                <w:sz w:val="18"/>
                <w:szCs w:val="18"/>
                <w:lang w:val="es-AR" w:eastAsia="es-AR"/>
              </w:rPr>
              <w:t>Micro</w:t>
            </w:r>
          </w:p>
        </w:tc>
        <w:tc>
          <w:tcPr>
            <w:tcW w:w="0" w:type="auto"/>
            <w:tcBorders>
              <w:top w:val="single" w:sz="6" w:space="0" w:color="000000"/>
              <w:left w:val="single" w:sz="6" w:space="0" w:color="000000"/>
              <w:bottom w:val="single" w:sz="6" w:space="0" w:color="000000"/>
              <w:right w:val="single" w:sz="6" w:space="0" w:color="000000"/>
            </w:tcBorders>
            <w:shd w:val="clear" w:color="auto" w:fill="F9F9F9"/>
            <w:tcMar>
              <w:top w:w="60" w:type="dxa"/>
              <w:left w:w="60" w:type="dxa"/>
              <w:bottom w:w="60" w:type="dxa"/>
              <w:right w:w="60" w:type="dxa"/>
            </w:tcMar>
            <w:vAlign w:val="center"/>
            <w:hideMark/>
          </w:tcPr>
          <w:p w:rsidR="00CF5462" w:rsidRPr="00CF5462" w:rsidRDefault="00CF5462" w:rsidP="00340464">
            <w:pPr>
              <w:spacing w:before="100" w:beforeAutospacing="1" w:after="100" w:afterAutospacing="1"/>
              <w:rPr>
                <w:rFonts w:eastAsia="Times New Roman"/>
                <w:sz w:val="18"/>
                <w:szCs w:val="18"/>
                <w:lang w:val="es-AR" w:eastAsia="es-AR"/>
              </w:rPr>
            </w:pPr>
            <w:r w:rsidRPr="00CF5462">
              <w:rPr>
                <w:rFonts w:eastAsia="Times New Roman"/>
                <w:sz w:val="18"/>
                <w:szCs w:val="18"/>
                <w:lang w:val="es-AR" w:eastAsia="es-AR"/>
              </w:rPr>
              <w:t>15.230.000</w:t>
            </w:r>
          </w:p>
        </w:tc>
        <w:tc>
          <w:tcPr>
            <w:tcW w:w="0" w:type="auto"/>
            <w:tcBorders>
              <w:top w:val="single" w:sz="6" w:space="0" w:color="000000"/>
              <w:left w:val="single" w:sz="6" w:space="0" w:color="000000"/>
              <w:bottom w:val="single" w:sz="6" w:space="0" w:color="000000"/>
              <w:right w:val="single" w:sz="6" w:space="0" w:color="000000"/>
            </w:tcBorders>
            <w:shd w:val="clear" w:color="auto" w:fill="F9F9F9"/>
            <w:tcMar>
              <w:top w:w="60" w:type="dxa"/>
              <w:left w:w="60" w:type="dxa"/>
              <w:bottom w:w="60" w:type="dxa"/>
              <w:right w:w="60" w:type="dxa"/>
            </w:tcMar>
            <w:vAlign w:val="center"/>
            <w:hideMark/>
          </w:tcPr>
          <w:p w:rsidR="00CF5462" w:rsidRPr="00CF5462" w:rsidRDefault="00CF5462" w:rsidP="00340464">
            <w:pPr>
              <w:spacing w:before="100" w:beforeAutospacing="1" w:after="100" w:afterAutospacing="1"/>
              <w:rPr>
                <w:rFonts w:eastAsia="Times New Roman"/>
                <w:sz w:val="18"/>
                <w:szCs w:val="18"/>
                <w:lang w:val="es-AR" w:eastAsia="es-AR"/>
              </w:rPr>
            </w:pPr>
            <w:r w:rsidRPr="00CF5462">
              <w:rPr>
                <w:rFonts w:eastAsia="Times New Roman"/>
                <w:sz w:val="18"/>
                <w:szCs w:val="18"/>
                <w:lang w:val="es-AR" w:eastAsia="es-AR"/>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9F9F9"/>
            <w:tcMar>
              <w:top w:w="60" w:type="dxa"/>
              <w:left w:w="60" w:type="dxa"/>
              <w:bottom w:w="60" w:type="dxa"/>
              <w:right w:w="60" w:type="dxa"/>
            </w:tcMar>
            <w:vAlign w:val="center"/>
            <w:hideMark/>
          </w:tcPr>
          <w:p w:rsidR="00CF5462" w:rsidRPr="00CF5462" w:rsidRDefault="00CF5462" w:rsidP="00340464">
            <w:pPr>
              <w:spacing w:before="100" w:beforeAutospacing="1" w:after="100" w:afterAutospacing="1"/>
              <w:rPr>
                <w:rFonts w:eastAsia="Times New Roman"/>
                <w:sz w:val="18"/>
                <w:szCs w:val="18"/>
                <w:lang w:val="es-AR" w:eastAsia="es-AR"/>
              </w:rPr>
            </w:pPr>
            <w:r w:rsidRPr="00CF5462">
              <w:rPr>
                <w:rFonts w:eastAsia="Times New Roman"/>
                <w:sz w:val="18"/>
                <w:szCs w:val="18"/>
                <w:lang w:val="es-AR" w:eastAsia="es-AR"/>
              </w:rPr>
              <w:t>29.740.000</w:t>
            </w:r>
          </w:p>
        </w:tc>
        <w:tc>
          <w:tcPr>
            <w:tcW w:w="0" w:type="auto"/>
            <w:tcBorders>
              <w:top w:val="single" w:sz="6" w:space="0" w:color="000000"/>
              <w:left w:val="single" w:sz="6" w:space="0" w:color="000000"/>
              <w:bottom w:val="single" w:sz="6" w:space="0" w:color="000000"/>
              <w:right w:val="single" w:sz="6" w:space="0" w:color="000000"/>
            </w:tcBorders>
            <w:shd w:val="clear" w:color="auto" w:fill="F9F9F9"/>
            <w:tcMar>
              <w:top w:w="60" w:type="dxa"/>
              <w:left w:w="60" w:type="dxa"/>
              <w:bottom w:w="60" w:type="dxa"/>
              <w:right w:w="60" w:type="dxa"/>
            </w:tcMar>
            <w:vAlign w:val="center"/>
            <w:hideMark/>
          </w:tcPr>
          <w:p w:rsidR="00CF5462" w:rsidRPr="00CF5462" w:rsidRDefault="00CF5462" w:rsidP="00340464">
            <w:pPr>
              <w:spacing w:before="100" w:beforeAutospacing="1" w:after="100" w:afterAutospacing="1"/>
              <w:rPr>
                <w:rFonts w:eastAsia="Times New Roman"/>
                <w:sz w:val="18"/>
                <w:szCs w:val="18"/>
                <w:lang w:val="es-AR" w:eastAsia="es-AR"/>
              </w:rPr>
            </w:pPr>
            <w:r w:rsidRPr="00CF5462">
              <w:rPr>
                <w:rFonts w:eastAsia="Times New Roman"/>
                <w:sz w:val="18"/>
                <w:szCs w:val="18"/>
                <w:lang w:val="es-AR" w:eastAsia="es-AR"/>
              </w:rPr>
              <w:t>26.540.000</w:t>
            </w:r>
          </w:p>
        </w:tc>
        <w:tc>
          <w:tcPr>
            <w:tcW w:w="0" w:type="auto"/>
            <w:tcBorders>
              <w:top w:val="single" w:sz="6" w:space="0" w:color="000000"/>
              <w:left w:val="single" w:sz="6" w:space="0" w:color="000000"/>
              <w:bottom w:val="single" w:sz="6" w:space="0" w:color="000000"/>
              <w:right w:val="single" w:sz="6" w:space="0" w:color="000000"/>
            </w:tcBorders>
            <w:shd w:val="clear" w:color="auto" w:fill="F9F9F9"/>
            <w:tcMar>
              <w:top w:w="60" w:type="dxa"/>
              <w:left w:w="60" w:type="dxa"/>
              <w:bottom w:w="60" w:type="dxa"/>
              <w:right w:w="60" w:type="dxa"/>
            </w:tcMar>
            <w:vAlign w:val="center"/>
            <w:hideMark/>
          </w:tcPr>
          <w:p w:rsidR="00CF5462" w:rsidRPr="00CF5462" w:rsidRDefault="00CF5462" w:rsidP="00340464">
            <w:pPr>
              <w:spacing w:before="100" w:beforeAutospacing="1" w:after="100" w:afterAutospacing="1"/>
              <w:rPr>
                <w:rFonts w:eastAsia="Times New Roman"/>
                <w:sz w:val="18"/>
                <w:szCs w:val="18"/>
                <w:lang w:val="es-AR" w:eastAsia="es-AR"/>
              </w:rPr>
            </w:pPr>
            <w:r w:rsidRPr="00CF5462">
              <w:rPr>
                <w:rFonts w:eastAsia="Times New Roman"/>
                <w:sz w:val="18"/>
                <w:szCs w:val="18"/>
                <w:lang w:val="es-AR" w:eastAsia="es-AR"/>
              </w:rPr>
              <w:t>12.890.000</w:t>
            </w:r>
          </w:p>
        </w:tc>
      </w:tr>
      <w:tr w:rsidR="00CF5462" w:rsidRPr="00CF5462" w:rsidTr="00CF5462">
        <w:trPr>
          <w:trHeight w:val="206"/>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9F9F9"/>
            <w:tcMar>
              <w:top w:w="60" w:type="dxa"/>
              <w:left w:w="60" w:type="dxa"/>
              <w:bottom w:w="60" w:type="dxa"/>
              <w:right w:w="60" w:type="dxa"/>
            </w:tcMar>
            <w:vAlign w:val="center"/>
            <w:hideMark/>
          </w:tcPr>
          <w:p w:rsidR="00CF5462" w:rsidRPr="00CF5462" w:rsidRDefault="00CF5462" w:rsidP="00340464">
            <w:pPr>
              <w:spacing w:before="100" w:beforeAutospacing="1" w:after="100" w:afterAutospacing="1"/>
              <w:rPr>
                <w:rFonts w:eastAsia="Times New Roman"/>
                <w:sz w:val="18"/>
                <w:szCs w:val="18"/>
                <w:lang w:val="es-AR" w:eastAsia="es-AR"/>
              </w:rPr>
            </w:pPr>
            <w:r w:rsidRPr="00CF5462">
              <w:rPr>
                <w:rFonts w:eastAsia="Times New Roman"/>
                <w:sz w:val="18"/>
                <w:szCs w:val="18"/>
                <w:lang w:val="es-AR" w:eastAsia="es-AR"/>
              </w:rPr>
              <w:lastRenderedPageBreak/>
              <w:t>Pequeña</w:t>
            </w:r>
          </w:p>
        </w:tc>
        <w:tc>
          <w:tcPr>
            <w:tcW w:w="0" w:type="auto"/>
            <w:tcBorders>
              <w:top w:val="single" w:sz="6" w:space="0" w:color="000000"/>
              <w:left w:val="single" w:sz="6" w:space="0" w:color="000000"/>
              <w:bottom w:val="single" w:sz="6" w:space="0" w:color="000000"/>
              <w:right w:val="single" w:sz="6" w:space="0" w:color="000000"/>
            </w:tcBorders>
            <w:shd w:val="clear" w:color="auto" w:fill="F9F9F9"/>
            <w:tcMar>
              <w:top w:w="60" w:type="dxa"/>
              <w:left w:w="60" w:type="dxa"/>
              <w:bottom w:w="60" w:type="dxa"/>
              <w:right w:w="60" w:type="dxa"/>
            </w:tcMar>
            <w:vAlign w:val="center"/>
            <w:hideMark/>
          </w:tcPr>
          <w:p w:rsidR="00CF5462" w:rsidRPr="00CF5462" w:rsidRDefault="00CF5462" w:rsidP="00340464">
            <w:pPr>
              <w:spacing w:before="100" w:beforeAutospacing="1" w:after="100" w:afterAutospacing="1"/>
              <w:rPr>
                <w:rFonts w:eastAsia="Times New Roman"/>
                <w:sz w:val="18"/>
                <w:szCs w:val="18"/>
                <w:lang w:val="es-AR" w:eastAsia="es-AR"/>
              </w:rPr>
            </w:pPr>
            <w:r w:rsidRPr="00CF5462">
              <w:rPr>
                <w:rFonts w:eastAsia="Times New Roman"/>
                <w:sz w:val="18"/>
                <w:szCs w:val="18"/>
                <w:lang w:val="es-AR" w:eastAsia="es-AR"/>
              </w:rPr>
              <w:t>90.310.000</w:t>
            </w:r>
          </w:p>
        </w:tc>
        <w:tc>
          <w:tcPr>
            <w:tcW w:w="0" w:type="auto"/>
            <w:tcBorders>
              <w:top w:val="single" w:sz="6" w:space="0" w:color="000000"/>
              <w:left w:val="single" w:sz="6" w:space="0" w:color="000000"/>
              <w:bottom w:val="single" w:sz="6" w:space="0" w:color="000000"/>
              <w:right w:val="single" w:sz="6" w:space="0" w:color="000000"/>
            </w:tcBorders>
            <w:shd w:val="clear" w:color="auto" w:fill="F9F9F9"/>
            <w:tcMar>
              <w:top w:w="60" w:type="dxa"/>
              <w:left w:w="60" w:type="dxa"/>
              <w:bottom w:w="60" w:type="dxa"/>
              <w:right w:w="60" w:type="dxa"/>
            </w:tcMar>
            <w:vAlign w:val="center"/>
            <w:hideMark/>
          </w:tcPr>
          <w:p w:rsidR="00CF5462" w:rsidRPr="00CF5462" w:rsidRDefault="00CF5462" w:rsidP="00340464">
            <w:pPr>
              <w:spacing w:before="100" w:beforeAutospacing="1" w:after="100" w:afterAutospacing="1"/>
              <w:rPr>
                <w:rFonts w:eastAsia="Times New Roman"/>
                <w:sz w:val="18"/>
                <w:szCs w:val="18"/>
                <w:lang w:val="es-AR" w:eastAsia="es-AR"/>
              </w:rPr>
            </w:pPr>
            <w:r w:rsidRPr="00CF5462">
              <w:rPr>
                <w:rFonts w:eastAsia="Times New Roman"/>
                <w:sz w:val="18"/>
                <w:szCs w:val="18"/>
                <w:lang w:val="es-AR" w:eastAsia="es-AR"/>
              </w:rPr>
              <w:t>50.950.000</w:t>
            </w:r>
          </w:p>
        </w:tc>
        <w:tc>
          <w:tcPr>
            <w:tcW w:w="0" w:type="auto"/>
            <w:tcBorders>
              <w:top w:val="single" w:sz="6" w:space="0" w:color="000000"/>
              <w:left w:val="single" w:sz="6" w:space="0" w:color="000000"/>
              <w:bottom w:val="single" w:sz="6" w:space="0" w:color="000000"/>
              <w:right w:val="single" w:sz="6" w:space="0" w:color="000000"/>
            </w:tcBorders>
            <w:shd w:val="clear" w:color="auto" w:fill="F9F9F9"/>
            <w:tcMar>
              <w:top w:w="60" w:type="dxa"/>
              <w:left w:w="60" w:type="dxa"/>
              <w:bottom w:w="60" w:type="dxa"/>
              <w:right w:w="60" w:type="dxa"/>
            </w:tcMar>
            <w:vAlign w:val="center"/>
            <w:hideMark/>
          </w:tcPr>
          <w:p w:rsidR="00CF5462" w:rsidRPr="00CF5462" w:rsidRDefault="00CF5462" w:rsidP="00340464">
            <w:pPr>
              <w:spacing w:before="100" w:beforeAutospacing="1" w:after="100" w:afterAutospacing="1"/>
              <w:rPr>
                <w:rFonts w:eastAsia="Times New Roman"/>
                <w:sz w:val="18"/>
                <w:szCs w:val="18"/>
                <w:lang w:val="es-AR" w:eastAsia="es-AR"/>
              </w:rPr>
            </w:pPr>
            <w:r w:rsidRPr="00CF5462">
              <w:rPr>
                <w:rFonts w:eastAsia="Times New Roman"/>
                <w:sz w:val="18"/>
                <w:szCs w:val="18"/>
                <w:lang w:val="es-AR" w:eastAsia="es-AR"/>
              </w:rPr>
              <w:t>178.860.000</w:t>
            </w:r>
          </w:p>
        </w:tc>
        <w:tc>
          <w:tcPr>
            <w:tcW w:w="0" w:type="auto"/>
            <w:tcBorders>
              <w:top w:val="single" w:sz="6" w:space="0" w:color="000000"/>
              <w:left w:val="single" w:sz="6" w:space="0" w:color="000000"/>
              <w:bottom w:val="single" w:sz="6" w:space="0" w:color="000000"/>
              <w:right w:val="single" w:sz="6" w:space="0" w:color="000000"/>
            </w:tcBorders>
            <w:shd w:val="clear" w:color="auto" w:fill="F9F9F9"/>
            <w:tcMar>
              <w:top w:w="60" w:type="dxa"/>
              <w:left w:w="60" w:type="dxa"/>
              <w:bottom w:w="60" w:type="dxa"/>
              <w:right w:w="60" w:type="dxa"/>
            </w:tcMar>
            <w:vAlign w:val="center"/>
            <w:hideMark/>
          </w:tcPr>
          <w:p w:rsidR="00CF5462" w:rsidRPr="00CF5462" w:rsidRDefault="00CF5462" w:rsidP="00340464">
            <w:pPr>
              <w:spacing w:before="100" w:beforeAutospacing="1" w:after="100" w:afterAutospacing="1"/>
              <w:rPr>
                <w:rFonts w:eastAsia="Times New Roman"/>
                <w:sz w:val="18"/>
                <w:szCs w:val="18"/>
                <w:lang w:val="es-AR" w:eastAsia="es-AR"/>
              </w:rPr>
            </w:pPr>
            <w:r w:rsidRPr="00CF5462">
              <w:rPr>
                <w:rFonts w:eastAsia="Times New Roman"/>
                <w:sz w:val="18"/>
                <w:szCs w:val="18"/>
                <w:lang w:val="es-AR" w:eastAsia="es-AR"/>
              </w:rPr>
              <w:t>190.410.000</w:t>
            </w:r>
          </w:p>
        </w:tc>
        <w:tc>
          <w:tcPr>
            <w:tcW w:w="0" w:type="auto"/>
            <w:tcBorders>
              <w:top w:val="single" w:sz="6" w:space="0" w:color="000000"/>
              <w:left w:val="single" w:sz="6" w:space="0" w:color="000000"/>
              <w:bottom w:val="single" w:sz="6" w:space="0" w:color="000000"/>
              <w:right w:val="single" w:sz="6" w:space="0" w:color="000000"/>
            </w:tcBorders>
            <w:shd w:val="clear" w:color="auto" w:fill="F9F9F9"/>
            <w:tcMar>
              <w:top w:w="60" w:type="dxa"/>
              <w:left w:w="60" w:type="dxa"/>
              <w:bottom w:w="60" w:type="dxa"/>
              <w:right w:w="60" w:type="dxa"/>
            </w:tcMar>
            <w:vAlign w:val="center"/>
            <w:hideMark/>
          </w:tcPr>
          <w:p w:rsidR="00CF5462" w:rsidRPr="00CF5462" w:rsidRDefault="00CF5462" w:rsidP="00340464">
            <w:pPr>
              <w:spacing w:before="100" w:beforeAutospacing="1" w:after="100" w:afterAutospacing="1"/>
              <w:rPr>
                <w:rFonts w:eastAsia="Times New Roman"/>
                <w:sz w:val="18"/>
                <w:szCs w:val="18"/>
                <w:lang w:val="es-AR" w:eastAsia="es-AR"/>
              </w:rPr>
            </w:pPr>
            <w:r w:rsidRPr="00CF5462">
              <w:rPr>
                <w:rFonts w:eastAsia="Times New Roman"/>
                <w:sz w:val="18"/>
                <w:szCs w:val="18"/>
                <w:lang w:val="es-AR" w:eastAsia="es-AR"/>
              </w:rPr>
              <w:t>48.480.000</w:t>
            </w:r>
          </w:p>
        </w:tc>
      </w:tr>
      <w:tr w:rsidR="00CF5462" w:rsidRPr="00CF5462" w:rsidTr="00CF5462">
        <w:trPr>
          <w:trHeight w:val="413"/>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9F9F9"/>
            <w:tcMar>
              <w:top w:w="60" w:type="dxa"/>
              <w:left w:w="60" w:type="dxa"/>
              <w:bottom w:w="60" w:type="dxa"/>
              <w:right w:w="60" w:type="dxa"/>
            </w:tcMar>
            <w:vAlign w:val="center"/>
            <w:hideMark/>
          </w:tcPr>
          <w:p w:rsidR="00CF5462" w:rsidRPr="00CF5462" w:rsidRDefault="00CF5462" w:rsidP="00340464">
            <w:pPr>
              <w:spacing w:before="100" w:beforeAutospacing="1" w:after="100" w:afterAutospacing="1"/>
              <w:rPr>
                <w:rFonts w:eastAsia="Times New Roman"/>
                <w:sz w:val="18"/>
                <w:szCs w:val="18"/>
                <w:lang w:val="es-AR" w:eastAsia="es-AR"/>
              </w:rPr>
            </w:pPr>
            <w:r w:rsidRPr="00CF5462">
              <w:rPr>
                <w:rFonts w:eastAsia="Times New Roman"/>
                <w:sz w:val="18"/>
                <w:szCs w:val="18"/>
                <w:lang w:val="es-AR" w:eastAsia="es-AR"/>
              </w:rPr>
              <w:t>Mediana tramo 1</w:t>
            </w:r>
          </w:p>
        </w:tc>
        <w:tc>
          <w:tcPr>
            <w:tcW w:w="0" w:type="auto"/>
            <w:tcBorders>
              <w:top w:val="single" w:sz="6" w:space="0" w:color="000000"/>
              <w:left w:val="single" w:sz="6" w:space="0" w:color="000000"/>
              <w:bottom w:val="single" w:sz="6" w:space="0" w:color="000000"/>
              <w:right w:val="single" w:sz="6" w:space="0" w:color="000000"/>
            </w:tcBorders>
            <w:shd w:val="clear" w:color="auto" w:fill="F9F9F9"/>
            <w:tcMar>
              <w:top w:w="60" w:type="dxa"/>
              <w:left w:w="60" w:type="dxa"/>
              <w:bottom w:w="60" w:type="dxa"/>
              <w:right w:w="60" w:type="dxa"/>
            </w:tcMar>
            <w:vAlign w:val="center"/>
            <w:hideMark/>
          </w:tcPr>
          <w:p w:rsidR="00CF5462" w:rsidRPr="00CF5462" w:rsidRDefault="00CF5462" w:rsidP="00340464">
            <w:pPr>
              <w:spacing w:before="100" w:beforeAutospacing="1" w:after="100" w:afterAutospacing="1"/>
              <w:rPr>
                <w:rFonts w:eastAsia="Times New Roman"/>
                <w:sz w:val="18"/>
                <w:szCs w:val="18"/>
                <w:lang w:val="es-AR" w:eastAsia="es-AR"/>
              </w:rPr>
            </w:pPr>
            <w:r w:rsidRPr="00CF5462">
              <w:rPr>
                <w:rFonts w:eastAsia="Times New Roman"/>
                <w:sz w:val="18"/>
                <w:szCs w:val="18"/>
                <w:lang w:val="es-AR" w:eastAsia="es-AR"/>
              </w:rPr>
              <w:t>503.880.000</w:t>
            </w:r>
          </w:p>
        </w:tc>
        <w:tc>
          <w:tcPr>
            <w:tcW w:w="0" w:type="auto"/>
            <w:tcBorders>
              <w:top w:val="single" w:sz="6" w:space="0" w:color="000000"/>
              <w:left w:val="single" w:sz="6" w:space="0" w:color="000000"/>
              <w:bottom w:val="single" w:sz="6" w:space="0" w:color="000000"/>
              <w:right w:val="single" w:sz="6" w:space="0" w:color="000000"/>
            </w:tcBorders>
            <w:shd w:val="clear" w:color="auto" w:fill="F9F9F9"/>
            <w:tcMar>
              <w:top w:w="60" w:type="dxa"/>
              <w:left w:w="60" w:type="dxa"/>
              <w:bottom w:w="60" w:type="dxa"/>
              <w:right w:w="60" w:type="dxa"/>
            </w:tcMar>
            <w:vAlign w:val="center"/>
            <w:hideMark/>
          </w:tcPr>
          <w:p w:rsidR="00CF5462" w:rsidRPr="00CF5462" w:rsidRDefault="00CF5462" w:rsidP="00340464">
            <w:pPr>
              <w:spacing w:before="100" w:beforeAutospacing="1" w:after="100" w:afterAutospacing="1"/>
              <w:rPr>
                <w:rFonts w:eastAsia="Times New Roman"/>
                <w:sz w:val="18"/>
                <w:szCs w:val="18"/>
                <w:lang w:val="es-AR" w:eastAsia="es-AR"/>
              </w:rPr>
            </w:pPr>
            <w:r w:rsidRPr="00CF5462">
              <w:rPr>
                <w:rFonts w:eastAsia="Times New Roman"/>
                <w:sz w:val="18"/>
                <w:szCs w:val="18"/>
                <w:lang w:val="es-AR" w:eastAsia="es-AR"/>
              </w:rPr>
              <w:t>425.170.000</w:t>
            </w:r>
          </w:p>
        </w:tc>
        <w:tc>
          <w:tcPr>
            <w:tcW w:w="0" w:type="auto"/>
            <w:tcBorders>
              <w:top w:val="single" w:sz="6" w:space="0" w:color="000000"/>
              <w:left w:val="single" w:sz="6" w:space="0" w:color="000000"/>
              <w:bottom w:val="single" w:sz="6" w:space="0" w:color="000000"/>
              <w:right w:val="single" w:sz="6" w:space="0" w:color="000000"/>
            </w:tcBorders>
            <w:shd w:val="clear" w:color="auto" w:fill="F9F9F9"/>
            <w:tcMar>
              <w:top w:w="60" w:type="dxa"/>
              <w:left w:w="60" w:type="dxa"/>
              <w:bottom w:w="60" w:type="dxa"/>
              <w:right w:w="60" w:type="dxa"/>
            </w:tcMar>
            <w:vAlign w:val="center"/>
            <w:hideMark/>
          </w:tcPr>
          <w:p w:rsidR="00CF5462" w:rsidRPr="00CF5462" w:rsidRDefault="00CF5462" w:rsidP="00340464">
            <w:pPr>
              <w:spacing w:before="100" w:beforeAutospacing="1" w:after="100" w:afterAutospacing="1"/>
              <w:rPr>
                <w:rFonts w:eastAsia="Times New Roman"/>
                <w:sz w:val="18"/>
                <w:szCs w:val="18"/>
                <w:lang w:val="es-AR" w:eastAsia="es-AR"/>
              </w:rPr>
            </w:pPr>
            <w:r w:rsidRPr="00CF5462">
              <w:rPr>
                <w:rFonts w:eastAsia="Times New Roman"/>
                <w:sz w:val="18"/>
                <w:szCs w:val="18"/>
                <w:lang w:val="es-AR" w:eastAsia="es-AR"/>
              </w:rPr>
              <w:t>1.502.750.000</w:t>
            </w:r>
          </w:p>
        </w:tc>
        <w:tc>
          <w:tcPr>
            <w:tcW w:w="0" w:type="auto"/>
            <w:tcBorders>
              <w:top w:val="single" w:sz="6" w:space="0" w:color="000000"/>
              <w:left w:val="single" w:sz="6" w:space="0" w:color="000000"/>
              <w:bottom w:val="single" w:sz="6" w:space="0" w:color="000000"/>
              <w:right w:val="single" w:sz="6" w:space="0" w:color="000000"/>
            </w:tcBorders>
            <w:shd w:val="clear" w:color="auto" w:fill="F9F9F9"/>
            <w:tcMar>
              <w:top w:w="60" w:type="dxa"/>
              <w:left w:w="60" w:type="dxa"/>
              <w:bottom w:w="60" w:type="dxa"/>
              <w:right w:w="60" w:type="dxa"/>
            </w:tcMar>
            <w:vAlign w:val="center"/>
            <w:hideMark/>
          </w:tcPr>
          <w:p w:rsidR="00CF5462" w:rsidRPr="00CF5462" w:rsidRDefault="00CF5462" w:rsidP="00340464">
            <w:pPr>
              <w:spacing w:before="100" w:beforeAutospacing="1" w:after="100" w:afterAutospacing="1"/>
              <w:rPr>
                <w:rFonts w:eastAsia="Times New Roman"/>
                <w:sz w:val="18"/>
                <w:szCs w:val="18"/>
                <w:lang w:val="es-AR" w:eastAsia="es-AR"/>
              </w:rPr>
            </w:pPr>
            <w:r w:rsidRPr="00CF5462">
              <w:rPr>
                <w:rFonts w:eastAsia="Times New Roman"/>
                <w:sz w:val="18"/>
                <w:szCs w:val="18"/>
                <w:lang w:val="es-AR" w:eastAsia="es-AR"/>
              </w:rPr>
              <w:t>1.190.330.000</w:t>
            </w:r>
          </w:p>
        </w:tc>
        <w:tc>
          <w:tcPr>
            <w:tcW w:w="0" w:type="auto"/>
            <w:tcBorders>
              <w:top w:val="single" w:sz="6" w:space="0" w:color="000000"/>
              <w:left w:val="single" w:sz="6" w:space="0" w:color="000000"/>
              <w:bottom w:val="single" w:sz="6" w:space="0" w:color="000000"/>
              <w:right w:val="single" w:sz="6" w:space="0" w:color="000000"/>
            </w:tcBorders>
            <w:shd w:val="clear" w:color="auto" w:fill="F9F9F9"/>
            <w:tcMar>
              <w:top w:w="60" w:type="dxa"/>
              <w:left w:w="60" w:type="dxa"/>
              <w:bottom w:w="60" w:type="dxa"/>
              <w:right w:w="60" w:type="dxa"/>
            </w:tcMar>
            <w:vAlign w:val="center"/>
            <w:hideMark/>
          </w:tcPr>
          <w:p w:rsidR="00CF5462" w:rsidRPr="00CF5462" w:rsidRDefault="00CF5462" w:rsidP="00340464">
            <w:pPr>
              <w:spacing w:before="100" w:beforeAutospacing="1" w:after="100" w:afterAutospacing="1"/>
              <w:rPr>
                <w:rFonts w:eastAsia="Times New Roman"/>
                <w:sz w:val="18"/>
                <w:szCs w:val="18"/>
                <w:lang w:val="es-AR" w:eastAsia="es-AR"/>
              </w:rPr>
            </w:pPr>
            <w:r w:rsidRPr="00CF5462">
              <w:rPr>
                <w:rFonts w:eastAsia="Times New Roman"/>
                <w:sz w:val="18"/>
                <w:szCs w:val="18"/>
                <w:lang w:val="es-AR" w:eastAsia="es-AR"/>
              </w:rPr>
              <w:t>345.430.000</w:t>
            </w:r>
          </w:p>
        </w:tc>
      </w:tr>
      <w:tr w:rsidR="00CF5462" w:rsidRPr="00CF5462" w:rsidTr="00CF5462">
        <w:trPr>
          <w:trHeight w:val="413"/>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9F9F9"/>
            <w:tcMar>
              <w:top w:w="60" w:type="dxa"/>
              <w:left w:w="60" w:type="dxa"/>
              <w:bottom w:w="60" w:type="dxa"/>
              <w:right w:w="60" w:type="dxa"/>
            </w:tcMar>
            <w:vAlign w:val="center"/>
            <w:hideMark/>
          </w:tcPr>
          <w:p w:rsidR="00CF5462" w:rsidRPr="00CF5462" w:rsidRDefault="00CF5462" w:rsidP="00340464">
            <w:pPr>
              <w:spacing w:before="100" w:beforeAutospacing="1" w:after="100" w:afterAutospacing="1"/>
              <w:rPr>
                <w:rFonts w:eastAsia="Times New Roman"/>
                <w:sz w:val="18"/>
                <w:szCs w:val="18"/>
                <w:lang w:val="es-AR" w:eastAsia="es-AR"/>
              </w:rPr>
            </w:pPr>
            <w:r w:rsidRPr="00CF5462">
              <w:rPr>
                <w:rFonts w:eastAsia="Times New Roman"/>
                <w:sz w:val="18"/>
                <w:szCs w:val="18"/>
                <w:lang w:val="es-AR" w:eastAsia="es-AR"/>
              </w:rPr>
              <w:t>Mediana tramo 2</w:t>
            </w:r>
          </w:p>
        </w:tc>
        <w:tc>
          <w:tcPr>
            <w:tcW w:w="0" w:type="auto"/>
            <w:tcBorders>
              <w:top w:val="single" w:sz="6" w:space="0" w:color="000000"/>
              <w:left w:val="single" w:sz="6" w:space="0" w:color="000000"/>
              <w:bottom w:val="single" w:sz="6" w:space="0" w:color="000000"/>
              <w:right w:val="single" w:sz="6" w:space="0" w:color="000000"/>
            </w:tcBorders>
            <w:shd w:val="clear" w:color="auto" w:fill="F9F9F9"/>
            <w:tcMar>
              <w:top w:w="60" w:type="dxa"/>
              <w:left w:w="60" w:type="dxa"/>
              <w:bottom w:w="60" w:type="dxa"/>
              <w:right w:w="60" w:type="dxa"/>
            </w:tcMar>
            <w:vAlign w:val="center"/>
            <w:hideMark/>
          </w:tcPr>
          <w:p w:rsidR="00CF5462" w:rsidRPr="00CF5462" w:rsidRDefault="00CF5462" w:rsidP="00340464">
            <w:pPr>
              <w:spacing w:before="100" w:beforeAutospacing="1" w:after="100" w:afterAutospacing="1"/>
              <w:rPr>
                <w:rFonts w:eastAsia="Times New Roman"/>
                <w:sz w:val="18"/>
                <w:szCs w:val="18"/>
                <w:lang w:val="es-AR" w:eastAsia="es-AR"/>
              </w:rPr>
            </w:pPr>
            <w:r w:rsidRPr="00CF5462">
              <w:rPr>
                <w:rFonts w:eastAsia="Times New Roman"/>
                <w:sz w:val="18"/>
                <w:szCs w:val="18"/>
                <w:lang w:val="es-AR" w:eastAsia="es-AR"/>
              </w:rPr>
              <w:t>755.740.000</w:t>
            </w:r>
          </w:p>
        </w:tc>
        <w:tc>
          <w:tcPr>
            <w:tcW w:w="0" w:type="auto"/>
            <w:tcBorders>
              <w:top w:val="single" w:sz="6" w:space="0" w:color="000000"/>
              <w:left w:val="single" w:sz="6" w:space="0" w:color="000000"/>
              <w:bottom w:val="single" w:sz="6" w:space="0" w:color="000000"/>
              <w:right w:val="single" w:sz="6" w:space="0" w:color="000000"/>
            </w:tcBorders>
            <w:shd w:val="clear" w:color="auto" w:fill="F9F9F9"/>
            <w:tcMar>
              <w:top w:w="60" w:type="dxa"/>
              <w:left w:w="60" w:type="dxa"/>
              <w:bottom w:w="60" w:type="dxa"/>
              <w:right w:w="60" w:type="dxa"/>
            </w:tcMar>
            <w:vAlign w:val="center"/>
            <w:hideMark/>
          </w:tcPr>
          <w:p w:rsidR="00CF5462" w:rsidRPr="00CF5462" w:rsidRDefault="00CF5462" w:rsidP="00340464">
            <w:pPr>
              <w:spacing w:before="100" w:beforeAutospacing="1" w:after="100" w:afterAutospacing="1"/>
              <w:rPr>
                <w:rFonts w:eastAsia="Times New Roman"/>
                <w:sz w:val="18"/>
                <w:szCs w:val="18"/>
                <w:lang w:val="es-AR" w:eastAsia="es-AR"/>
              </w:rPr>
            </w:pPr>
            <w:r w:rsidRPr="00CF5462">
              <w:rPr>
                <w:rFonts w:eastAsia="Times New Roman"/>
                <w:sz w:val="18"/>
                <w:szCs w:val="18"/>
                <w:lang w:val="es-AR" w:eastAsia="es-AR"/>
              </w:rPr>
              <w:t>607.210.000</w:t>
            </w:r>
          </w:p>
        </w:tc>
        <w:tc>
          <w:tcPr>
            <w:tcW w:w="0" w:type="auto"/>
            <w:tcBorders>
              <w:top w:val="single" w:sz="6" w:space="0" w:color="000000"/>
              <w:left w:val="single" w:sz="6" w:space="0" w:color="000000"/>
              <w:bottom w:val="single" w:sz="6" w:space="0" w:color="000000"/>
              <w:right w:val="single" w:sz="6" w:space="0" w:color="000000"/>
            </w:tcBorders>
            <w:shd w:val="clear" w:color="auto" w:fill="F9F9F9"/>
            <w:tcMar>
              <w:top w:w="60" w:type="dxa"/>
              <w:left w:w="60" w:type="dxa"/>
              <w:bottom w:w="60" w:type="dxa"/>
              <w:right w:w="60" w:type="dxa"/>
            </w:tcMar>
            <w:vAlign w:val="center"/>
            <w:hideMark/>
          </w:tcPr>
          <w:p w:rsidR="00CF5462" w:rsidRPr="00CF5462" w:rsidRDefault="00CF5462" w:rsidP="00340464">
            <w:pPr>
              <w:spacing w:before="100" w:beforeAutospacing="1" w:after="100" w:afterAutospacing="1"/>
              <w:rPr>
                <w:rFonts w:eastAsia="Times New Roman"/>
                <w:sz w:val="18"/>
                <w:szCs w:val="18"/>
                <w:lang w:val="es-AR" w:eastAsia="es-AR"/>
              </w:rPr>
            </w:pPr>
            <w:r w:rsidRPr="00CF5462">
              <w:rPr>
                <w:rFonts w:eastAsia="Times New Roman"/>
                <w:sz w:val="18"/>
                <w:szCs w:val="18"/>
                <w:lang w:val="es-AR" w:eastAsia="es-AR"/>
              </w:rPr>
              <w:t>2.146.810.000</w:t>
            </w:r>
          </w:p>
        </w:tc>
        <w:tc>
          <w:tcPr>
            <w:tcW w:w="0" w:type="auto"/>
            <w:tcBorders>
              <w:top w:val="single" w:sz="6" w:space="0" w:color="000000"/>
              <w:left w:val="single" w:sz="6" w:space="0" w:color="000000"/>
              <w:bottom w:val="single" w:sz="6" w:space="0" w:color="000000"/>
              <w:right w:val="single" w:sz="6" w:space="0" w:color="000000"/>
            </w:tcBorders>
            <w:shd w:val="clear" w:color="auto" w:fill="F9F9F9"/>
            <w:tcMar>
              <w:top w:w="60" w:type="dxa"/>
              <w:left w:w="60" w:type="dxa"/>
              <w:bottom w:w="60" w:type="dxa"/>
              <w:right w:w="60" w:type="dxa"/>
            </w:tcMar>
            <w:vAlign w:val="center"/>
            <w:hideMark/>
          </w:tcPr>
          <w:p w:rsidR="00CF5462" w:rsidRPr="00CF5462" w:rsidRDefault="00CF5462" w:rsidP="00340464">
            <w:pPr>
              <w:spacing w:before="100" w:beforeAutospacing="1" w:after="100" w:afterAutospacing="1"/>
              <w:rPr>
                <w:rFonts w:eastAsia="Times New Roman"/>
                <w:sz w:val="18"/>
                <w:szCs w:val="18"/>
                <w:lang w:val="es-AR" w:eastAsia="es-AR"/>
              </w:rPr>
            </w:pPr>
            <w:r w:rsidRPr="00CF5462">
              <w:rPr>
                <w:rFonts w:eastAsia="Times New Roman"/>
                <w:sz w:val="18"/>
                <w:szCs w:val="18"/>
                <w:lang w:val="es-AR" w:eastAsia="es-AR"/>
              </w:rPr>
              <w:t>1.739.590.000</w:t>
            </w:r>
          </w:p>
        </w:tc>
        <w:tc>
          <w:tcPr>
            <w:tcW w:w="0" w:type="auto"/>
            <w:tcBorders>
              <w:top w:val="single" w:sz="6" w:space="0" w:color="000000"/>
              <w:left w:val="single" w:sz="6" w:space="0" w:color="000000"/>
              <w:bottom w:val="single" w:sz="6" w:space="0" w:color="000000"/>
              <w:right w:val="single" w:sz="6" w:space="0" w:color="000000"/>
            </w:tcBorders>
            <w:shd w:val="clear" w:color="auto" w:fill="F9F9F9"/>
            <w:tcMar>
              <w:top w:w="60" w:type="dxa"/>
              <w:left w:w="60" w:type="dxa"/>
              <w:bottom w:w="60" w:type="dxa"/>
              <w:right w:w="60" w:type="dxa"/>
            </w:tcMar>
            <w:vAlign w:val="center"/>
            <w:hideMark/>
          </w:tcPr>
          <w:p w:rsidR="00CF5462" w:rsidRPr="00CF5462" w:rsidRDefault="00CF5462" w:rsidP="00340464">
            <w:pPr>
              <w:spacing w:before="100" w:beforeAutospacing="1" w:after="100" w:afterAutospacing="1"/>
              <w:rPr>
                <w:rFonts w:eastAsia="Times New Roman"/>
                <w:sz w:val="18"/>
                <w:szCs w:val="18"/>
                <w:lang w:val="es-AR" w:eastAsia="es-AR"/>
              </w:rPr>
            </w:pPr>
            <w:r w:rsidRPr="00CF5462">
              <w:rPr>
                <w:rFonts w:eastAsia="Times New Roman"/>
                <w:sz w:val="18"/>
                <w:szCs w:val="18"/>
                <w:lang w:val="es-AR" w:eastAsia="es-AR"/>
              </w:rPr>
              <w:t>547.890.000</w:t>
            </w:r>
          </w:p>
        </w:tc>
      </w:tr>
    </w:tbl>
    <w:p w:rsidR="00CF5462" w:rsidRDefault="00CF5462" w:rsidP="00CF5462">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20"/>
          <w:szCs w:val="20"/>
        </w:rPr>
      </w:pPr>
    </w:p>
    <w:p w:rsidR="00CF5462" w:rsidRDefault="00CF5462" w:rsidP="00CF5462">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20"/>
          <w:szCs w:val="20"/>
        </w:rPr>
      </w:pPr>
    </w:p>
    <w:p w:rsidR="00CF5462" w:rsidRDefault="00CF5462" w:rsidP="00CF5462">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20"/>
          <w:szCs w:val="20"/>
        </w:rPr>
      </w:pPr>
    </w:p>
    <w:p w:rsidR="00CF5462" w:rsidRPr="00CF5462" w:rsidRDefault="00CF5462" w:rsidP="00CF5462">
      <w:pPr>
        <w:pStyle w:val="NormalWeb"/>
        <w:shd w:val="clear" w:color="auto" w:fill="FDE9D9" w:themeFill="accent6" w:themeFillTint="33"/>
        <w:spacing w:before="0" w:beforeAutospacing="0" w:after="0" w:afterAutospacing="0" w:line="360" w:lineRule="auto"/>
        <w:jc w:val="both"/>
        <w:rPr>
          <w:rFonts w:ascii="Arial" w:hAnsi="Arial" w:cs="Arial"/>
          <w:b/>
          <w:bCs/>
          <w:caps/>
          <w:color w:val="7F870A"/>
        </w:rPr>
      </w:pPr>
      <w:r w:rsidRPr="00CF5462">
        <w:rPr>
          <w:rFonts w:ascii="Arial" w:hAnsi="Arial" w:cs="Arial"/>
          <w:b/>
          <w:bCs/>
          <w:caps/>
          <w:color w:val="7F870A"/>
        </w:rPr>
        <w:t>MISCELANEAS</w:t>
      </w:r>
    </w:p>
    <w:p w:rsidR="00CF5462" w:rsidRPr="00CF5462" w:rsidRDefault="00CF5462" w:rsidP="00CF5462">
      <w:pPr>
        <w:spacing w:before="100" w:beforeAutospacing="1" w:after="255" w:line="420" w:lineRule="atLeast"/>
        <w:jc w:val="both"/>
        <w:rPr>
          <w:rFonts w:ascii="Arial" w:hAnsi="Arial" w:cs="Arial"/>
          <w:caps/>
          <w:color w:val="7F870A"/>
          <w:sz w:val="20"/>
          <w:szCs w:val="20"/>
        </w:rPr>
      </w:pPr>
      <w:r w:rsidRPr="00CF5462">
        <w:rPr>
          <w:rFonts w:ascii="Arial" w:hAnsi="Arial" w:cs="Arial"/>
          <w:caps/>
          <w:color w:val="7F870A"/>
          <w:sz w:val="20"/>
          <w:szCs w:val="20"/>
        </w:rPr>
        <w:t>Lo que viene: 4 meses de jolgorio y agárrate catalina</w:t>
      </w:r>
      <w:r>
        <w:rPr>
          <w:rFonts w:ascii="Arial" w:hAnsi="Arial" w:cs="Arial"/>
          <w:caps/>
          <w:color w:val="7F870A"/>
          <w:sz w:val="20"/>
          <w:szCs w:val="20"/>
        </w:rPr>
        <w:t xml:space="preserve"> - </w:t>
      </w:r>
      <w:r w:rsidRPr="00CF5462">
        <w:rPr>
          <w:rFonts w:ascii="Arial" w:hAnsi="Arial" w:cs="Arial"/>
          <w:caps/>
          <w:color w:val="7F870A"/>
          <w:sz w:val="20"/>
          <w:szCs w:val="20"/>
        </w:rPr>
        <w:t xml:space="preserve">Por Salvador Di Stéfano </w:t>
      </w:r>
      <w:hyperlink r:id="rId10" w:history="1">
        <w:r w:rsidRPr="00CF5462">
          <w:rPr>
            <w:rFonts w:ascii="Arial" w:hAnsi="Arial" w:cs="Arial"/>
            <w:caps/>
            <w:color w:val="7F870A"/>
            <w:sz w:val="20"/>
            <w:szCs w:val="20"/>
          </w:rPr>
          <w:t>.ambito.com/</w:t>
        </w:r>
      </w:hyperlink>
      <w:r w:rsidRPr="00CF5462">
        <w:rPr>
          <w:rFonts w:ascii="Arial" w:hAnsi="Arial" w:cs="Arial"/>
          <w:caps/>
          <w:color w:val="7F870A"/>
          <w:sz w:val="20"/>
          <w:szCs w:val="20"/>
        </w:rPr>
        <w:t xml:space="preserve"> 13 diciembre, 2019</w:t>
      </w:r>
    </w:p>
    <w:p w:rsidR="00CF5462" w:rsidRDefault="00CF5462" w:rsidP="00CF5462">
      <w:pPr>
        <w:spacing w:before="100" w:beforeAutospacing="1" w:after="255" w:line="360" w:lineRule="auto"/>
        <w:jc w:val="both"/>
        <w:rPr>
          <w:rFonts w:ascii="Arial" w:eastAsia="Times New Roman" w:hAnsi="Arial" w:cs="Arial"/>
          <w:b/>
          <w:bCs/>
          <w:color w:val="666666"/>
          <w:sz w:val="20"/>
          <w:szCs w:val="20"/>
        </w:rPr>
      </w:pPr>
      <w:r w:rsidRPr="00CF5462">
        <w:rPr>
          <w:rFonts w:ascii="Arial" w:eastAsia="Times New Roman" w:hAnsi="Arial" w:cs="Arial"/>
          <w:b/>
          <w:bCs/>
          <w:color w:val="666666"/>
          <w:sz w:val="20"/>
          <w:szCs w:val="20"/>
        </w:rPr>
        <w:t>Tendremos créditos a tasas subsidiadas, suba de salarios y créditos para las familias. El consumo tendrá su momento de gloria. A futuro no hay medidas pro inversión, es todo pro gas</w:t>
      </w:r>
      <w:r>
        <w:rPr>
          <w:rFonts w:ascii="Arial" w:eastAsia="Times New Roman" w:hAnsi="Arial" w:cs="Arial"/>
          <w:b/>
          <w:bCs/>
          <w:color w:val="666666"/>
          <w:sz w:val="20"/>
          <w:szCs w:val="20"/>
        </w:rPr>
        <w:t>.</w:t>
      </w:r>
    </w:p>
    <w:p w:rsidR="00CF5462" w:rsidRPr="00CF5462" w:rsidRDefault="00CF5462" w:rsidP="00CF5462">
      <w:pPr>
        <w:spacing w:before="100" w:beforeAutospacing="1" w:after="255" w:line="360" w:lineRule="auto"/>
        <w:jc w:val="both"/>
        <w:rPr>
          <w:rFonts w:ascii="Arial" w:eastAsia="Times New Roman" w:hAnsi="Arial" w:cs="Arial"/>
          <w:b/>
          <w:bCs/>
          <w:color w:val="666666"/>
          <w:sz w:val="20"/>
          <w:szCs w:val="20"/>
        </w:rPr>
      </w:pPr>
      <w:r w:rsidRPr="00CF5462">
        <w:rPr>
          <w:rFonts w:ascii="Arial" w:eastAsia="Times New Roman" w:hAnsi="Arial" w:cs="Arial"/>
          <w:b/>
          <w:bCs/>
          <w:color w:val="666666"/>
          <w:sz w:val="20"/>
          <w:szCs w:val="20"/>
        </w:rPr>
        <w:t>La economía argentina se tomaría un recreo de 4 meses. Tendremos créditos a tasas subsidiadas, suba de salarios y créditos para las familias. El consumo tendrá su momento de gloria. A futuro no hay medidas pro inversión, es todo pro gasto.</w:t>
      </w:r>
    </w:p>
    <w:p w:rsidR="00CF5462" w:rsidRPr="00CF5462" w:rsidRDefault="00CF5462" w:rsidP="00CF5462">
      <w:pPr>
        <w:spacing w:before="100" w:beforeAutospacing="1" w:after="255" w:line="360" w:lineRule="auto"/>
        <w:jc w:val="both"/>
        <w:rPr>
          <w:rFonts w:ascii="Arial" w:eastAsia="Times New Roman" w:hAnsi="Arial" w:cs="Arial"/>
          <w:b/>
          <w:bCs/>
          <w:color w:val="666666"/>
          <w:sz w:val="20"/>
          <w:szCs w:val="20"/>
        </w:rPr>
      </w:pPr>
      <w:r w:rsidRPr="00CF5462">
        <w:rPr>
          <w:rFonts w:ascii="Arial" w:eastAsia="Times New Roman" w:hAnsi="Arial" w:cs="Arial"/>
          <w:b/>
          <w:bCs/>
          <w:color w:val="666666"/>
          <w:sz w:val="20"/>
          <w:szCs w:val="20"/>
        </w:rPr>
        <w:t>Los lineamientos macroeconómicos y monetarios del gobierno no están aún fijados con precisión, hay límites difíciles de marcar. Sin embargo, en su primera conferencia de prensa el ministro de Economía Martin Guzmán, deja entrever algunos pasos a seguir:</w:t>
      </w:r>
    </w:p>
    <w:p w:rsidR="00CF5462" w:rsidRPr="00CF5462" w:rsidRDefault="00CF5462" w:rsidP="00CF5462">
      <w:pPr>
        <w:numPr>
          <w:ilvl w:val="0"/>
          <w:numId w:val="28"/>
        </w:numPr>
        <w:spacing w:before="100" w:beforeAutospacing="1" w:after="105" w:line="360" w:lineRule="auto"/>
        <w:jc w:val="both"/>
        <w:rPr>
          <w:rFonts w:ascii="Arial" w:eastAsia="Times New Roman" w:hAnsi="Arial" w:cs="Arial"/>
          <w:b/>
          <w:bCs/>
          <w:color w:val="666666"/>
          <w:sz w:val="20"/>
          <w:szCs w:val="20"/>
        </w:rPr>
      </w:pPr>
      <w:r w:rsidRPr="00CF5462">
        <w:rPr>
          <w:rFonts w:ascii="Arial" w:eastAsia="Times New Roman" w:hAnsi="Arial" w:cs="Arial"/>
          <w:b/>
          <w:bCs/>
          <w:color w:val="666666"/>
          <w:sz w:val="20"/>
          <w:szCs w:val="20"/>
        </w:rPr>
        <w:t>El gobierno no llevara adelante ajuste fiscal en el año 2020, sin embargo, aumentara impuestos para que el ajuste sea solidario. Es un gobierno pro gasto.</w:t>
      </w:r>
    </w:p>
    <w:p w:rsidR="00CF5462" w:rsidRPr="00CF5462" w:rsidRDefault="00CF5462" w:rsidP="00CF5462">
      <w:pPr>
        <w:numPr>
          <w:ilvl w:val="0"/>
          <w:numId w:val="28"/>
        </w:numPr>
        <w:spacing w:before="100" w:beforeAutospacing="1" w:after="105" w:line="360" w:lineRule="auto"/>
        <w:jc w:val="both"/>
        <w:rPr>
          <w:rFonts w:ascii="Arial" w:eastAsia="Times New Roman" w:hAnsi="Arial" w:cs="Arial"/>
          <w:b/>
          <w:bCs/>
          <w:color w:val="666666"/>
          <w:sz w:val="20"/>
          <w:szCs w:val="20"/>
        </w:rPr>
      </w:pPr>
      <w:r w:rsidRPr="00CF5462">
        <w:rPr>
          <w:rFonts w:ascii="Arial" w:eastAsia="Times New Roman" w:hAnsi="Arial" w:cs="Arial"/>
          <w:b/>
          <w:bCs/>
          <w:color w:val="666666"/>
          <w:sz w:val="20"/>
          <w:szCs w:val="20"/>
        </w:rPr>
        <w:t>Apostar a la emisión monetaria sería desestabilizante, sin embargo, se inyectarán créditos a las familias y pymes a tasas subsidiadas.</w:t>
      </w:r>
    </w:p>
    <w:p w:rsidR="00CF5462" w:rsidRPr="00CF5462" w:rsidRDefault="00CF5462" w:rsidP="00CF5462">
      <w:pPr>
        <w:numPr>
          <w:ilvl w:val="0"/>
          <w:numId w:val="28"/>
        </w:numPr>
        <w:spacing w:before="100" w:beforeAutospacing="1" w:after="105" w:line="360" w:lineRule="auto"/>
        <w:jc w:val="both"/>
        <w:rPr>
          <w:rFonts w:ascii="Arial" w:eastAsia="Times New Roman" w:hAnsi="Arial" w:cs="Arial"/>
          <w:b/>
          <w:bCs/>
          <w:color w:val="666666"/>
          <w:sz w:val="20"/>
          <w:szCs w:val="20"/>
        </w:rPr>
      </w:pPr>
      <w:r w:rsidRPr="00CF5462">
        <w:rPr>
          <w:rFonts w:ascii="Arial" w:eastAsia="Times New Roman" w:hAnsi="Arial" w:cs="Arial"/>
          <w:b/>
          <w:bCs/>
          <w:color w:val="666666"/>
          <w:sz w:val="20"/>
          <w:szCs w:val="20"/>
        </w:rPr>
        <w:t xml:space="preserve">No desea pagar la deuda ahora, prefiere hacerlo con crecimiento económico. Se </w:t>
      </w:r>
      <w:proofErr w:type="spellStart"/>
      <w:r w:rsidRPr="00CF5462">
        <w:rPr>
          <w:rFonts w:ascii="Arial" w:eastAsia="Times New Roman" w:hAnsi="Arial" w:cs="Arial"/>
          <w:b/>
          <w:bCs/>
          <w:color w:val="666666"/>
          <w:sz w:val="20"/>
          <w:szCs w:val="20"/>
        </w:rPr>
        <w:t>cayo</w:t>
      </w:r>
      <w:proofErr w:type="spellEnd"/>
      <w:r w:rsidRPr="00CF5462">
        <w:rPr>
          <w:rFonts w:ascii="Arial" w:eastAsia="Times New Roman" w:hAnsi="Arial" w:cs="Arial"/>
          <w:b/>
          <w:bCs/>
          <w:color w:val="666666"/>
          <w:sz w:val="20"/>
          <w:szCs w:val="20"/>
        </w:rPr>
        <w:t xml:space="preserve"> de esta forma una renegociación amigable, algo que había expresado en una conferencia internacional, parecería que unilateralmente pretende menos pagos de intereses, y postergación de pago de capital. Veremos.</w:t>
      </w:r>
    </w:p>
    <w:p w:rsidR="00CF5462" w:rsidRPr="00CF5462" w:rsidRDefault="00CF5462" w:rsidP="00CF5462">
      <w:pPr>
        <w:numPr>
          <w:ilvl w:val="0"/>
          <w:numId w:val="28"/>
        </w:numPr>
        <w:spacing w:before="100" w:beforeAutospacing="1" w:after="105" w:line="360" w:lineRule="auto"/>
        <w:jc w:val="both"/>
        <w:rPr>
          <w:rFonts w:ascii="Arial" w:eastAsia="Times New Roman" w:hAnsi="Arial" w:cs="Arial"/>
          <w:b/>
          <w:bCs/>
          <w:color w:val="666666"/>
          <w:sz w:val="20"/>
          <w:szCs w:val="20"/>
        </w:rPr>
      </w:pPr>
      <w:r w:rsidRPr="00CF5462">
        <w:rPr>
          <w:rFonts w:ascii="Arial" w:eastAsia="Times New Roman" w:hAnsi="Arial" w:cs="Arial"/>
          <w:b/>
          <w:bCs/>
          <w:color w:val="666666"/>
          <w:sz w:val="20"/>
          <w:szCs w:val="20"/>
        </w:rPr>
        <w:t xml:space="preserve">El ministro tiene una alta urgencia de renegociar, ya que puede pagar intereses de la deuda hasta marzo, para el segundo trimestre de 2020 el escenario de liquidez es muy complejo y sería deseable no seguir perdiendo reservas. Si para dicha fecha no </w:t>
      </w:r>
      <w:r w:rsidRPr="00CF5462">
        <w:rPr>
          <w:rFonts w:ascii="Arial" w:eastAsia="Times New Roman" w:hAnsi="Arial" w:cs="Arial"/>
          <w:b/>
          <w:bCs/>
          <w:color w:val="666666"/>
          <w:sz w:val="20"/>
          <w:szCs w:val="20"/>
        </w:rPr>
        <w:lastRenderedPageBreak/>
        <w:t>hay consenso en la reestructuración de deuda, habrá una propuesta unilateral, y agárrate catalina.</w:t>
      </w:r>
    </w:p>
    <w:p w:rsidR="00CF5462" w:rsidRPr="00CF5462" w:rsidRDefault="00CF5462" w:rsidP="00CF5462">
      <w:pPr>
        <w:numPr>
          <w:ilvl w:val="0"/>
          <w:numId w:val="28"/>
        </w:numPr>
        <w:spacing w:before="100" w:beforeAutospacing="1" w:after="105" w:line="360" w:lineRule="auto"/>
        <w:jc w:val="both"/>
        <w:rPr>
          <w:rFonts w:ascii="Arial" w:eastAsia="Times New Roman" w:hAnsi="Arial" w:cs="Arial"/>
          <w:b/>
          <w:bCs/>
          <w:color w:val="666666"/>
          <w:sz w:val="20"/>
          <w:szCs w:val="20"/>
        </w:rPr>
      </w:pPr>
      <w:r w:rsidRPr="00CF5462">
        <w:rPr>
          <w:rFonts w:ascii="Arial" w:eastAsia="Times New Roman" w:hAnsi="Arial" w:cs="Arial"/>
          <w:b/>
          <w:bCs/>
          <w:color w:val="666666"/>
          <w:sz w:val="20"/>
          <w:szCs w:val="20"/>
        </w:rPr>
        <w:t>Los bonos soberanos en dólares cotizan en promedio en el 44% de paridad, el que menos cotiza es el Bono Par a una paridad del 37% y el que más cotiza es el DICA a una paridad del 56%. Son los dos bonos de la deuda pública que ya habían sido reestructurados.</w:t>
      </w:r>
    </w:p>
    <w:p w:rsidR="00CF5462" w:rsidRPr="00CF5462" w:rsidRDefault="00CF5462" w:rsidP="00CF5462">
      <w:pPr>
        <w:numPr>
          <w:ilvl w:val="0"/>
          <w:numId w:val="28"/>
        </w:numPr>
        <w:spacing w:before="100" w:beforeAutospacing="1" w:after="105" w:line="360" w:lineRule="auto"/>
        <w:jc w:val="both"/>
        <w:rPr>
          <w:rFonts w:ascii="Arial" w:eastAsia="Times New Roman" w:hAnsi="Arial" w:cs="Arial"/>
          <w:b/>
          <w:bCs/>
          <w:color w:val="666666"/>
          <w:sz w:val="20"/>
          <w:szCs w:val="20"/>
        </w:rPr>
      </w:pPr>
      <w:r w:rsidRPr="00CF5462">
        <w:rPr>
          <w:rFonts w:ascii="Arial" w:eastAsia="Times New Roman" w:hAnsi="Arial" w:cs="Arial"/>
          <w:b/>
          <w:bCs/>
          <w:color w:val="666666"/>
          <w:sz w:val="20"/>
          <w:szCs w:val="20"/>
        </w:rPr>
        <w:t xml:space="preserve">Los bonos de corto plazo como el </w:t>
      </w:r>
      <w:proofErr w:type="spellStart"/>
      <w:r w:rsidRPr="00CF5462">
        <w:rPr>
          <w:rFonts w:ascii="Arial" w:eastAsia="Times New Roman" w:hAnsi="Arial" w:cs="Arial"/>
          <w:b/>
          <w:bCs/>
          <w:color w:val="666666"/>
          <w:sz w:val="20"/>
          <w:szCs w:val="20"/>
        </w:rPr>
        <w:t>Bonar</w:t>
      </w:r>
      <w:proofErr w:type="spellEnd"/>
      <w:r w:rsidRPr="00CF5462">
        <w:rPr>
          <w:rFonts w:ascii="Arial" w:eastAsia="Times New Roman" w:hAnsi="Arial" w:cs="Arial"/>
          <w:b/>
          <w:bCs/>
          <w:color w:val="666666"/>
          <w:sz w:val="20"/>
          <w:szCs w:val="20"/>
        </w:rPr>
        <w:t xml:space="preserve"> 2020 y </w:t>
      </w:r>
      <w:proofErr w:type="spellStart"/>
      <w:r w:rsidRPr="00CF5462">
        <w:rPr>
          <w:rFonts w:ascii="Arial" w:eastAsia="Times New Roman" w:hAnsi="Arial" w:cs="Arial"/>
          <w:b/>
          <w:bCs/>
          <w:color w:val="666666"/>
          <w:sz w:val="20"/>
          <w:szCs w:val="20"/>
        </w:rPr>
        <w:t>Bonar</w:t>
      </w:r>
      <w:proofErr w:type="spellEnd"/>
      <w:r w:rsidRPr="00CF5462">
        <w:rPr>
          <w:rFonts w:ascii="Arial" w:eastAsia="Times New Roman" w:hAnsi="Arial" w:cs="Arial"/>
          <w:b/>
          <w:bCs/>
          <w:color w:val="666666"/>
          <w:sz w:val="20"/>
          <w:szCs w:val="20"/>
        </w:rPr>
        <w:t xml:space="preserve"> 2024 cotizan a una paridad del 39%. El </w:t>
      </w:r>
      <w:proofErr w:type="spellStart"/>
      <w:r w:rsidRPr="00CF5462">
        <w:rPr>
          <w:rFonts w:ascii="Arial" w:eastAsia="Times New Roman" w:hAnsi="Arial" w:cs="Arial"/>
          <w:b/>
          <w:bCs/>
          <w:color w:val="666666"/>
          <w:sz w:val="20"/>
          <w:szCs w:val="20"/>
        </w:rPr>
        <w:t>Bonar</w:t>
      </w:r>
      <w:proofErr w:type="spellEnd"/>
      <w:r w:rsidRPr="00CF5462">
        <w:rPr>
          <w:rFonts w:ascii="Arial" w:eastAsia="Times New Roman" w:hAnsi="Arial" w:cs="Arial"/>
          <w:b/>
          <w:bCs/>
          <w:color w:val="666666"/>
          <w:sz w:val="20"/>
          <w:szCs w:val="20"/>
        </w:rPr>
        <w:t xml:space="preserve"> 2020 rinde el 257% anual y el </w:t>
      </w:r>
      <w:proofErr w:type="spellStart"/>
      <w:r w:rsidRPr="00CF5462">
        <w:rPr>
          <w:rFonts w:ascii="Arial" w:eastAsia="Times New Roman" w:hAnsi="Arial" w:cs="Arial"/>
          <w:b/>
          <w:bCs/>
          <w:color w:val="666666"/>
          <w:sz w:val="20"/>
          <w:szCs w:val="20"/>
        </w:rPr>
        <w:t>Bonar</w:t>
      </w:r>
      <w:proofErr w:type="spellEnd"/>
      <w:r w:rsidRPr="00CF5462">
        <w:rPr>
          <w:rFonts w:ascii="Arial" w:eastAsia="Times New Roman" w:hAnsi="Arial" w:cs="Arial"/>
          <w:b/>
          <w:bCs/>
          <w:color w:val="666666"/>
          <w:sz w:val="20"/>
          <w:szCs w:val="20"/>
        </w:rPr>
        <w:t xml:space="preserve"> 2024 el 96% anual. Ambos bonos van directo a un alargamiento de plazo para el pago de capital, y quita de intereses, esto implica fuerte baja del valor presente.</w:t>
      </w:r>
    </w:p>
    <w:p w:rsidR="00CF5462" w:rsidRPr="00CF5462" w:rsidRDefault="00CF5462" w:rsidP="00CF5462">
      <w:pPr>
        <w:numPr>
          <w:ilvl w:val="0"/>
          <w:numId w:val="28"/>
        </w:numPr>
        <w:spacing w:before="100" w:beforeAutospacing="1" w:after="105" w:line="360" w:lineRule="auto"/>
        <w:jc w:val="both"/>
        <w:rPr>
          <w:rFonts w:ascii="Arial" w:eastAsia="Times New Roman" w:hAnsi="Arial" w:cs="Arial"/>
          <w:b/>
          <w:bCs/>
          <w:color w:val="666666"/>
          <w:sz w:val="20"/>
          <w:szCs w:val="20"/>
        </w:rPr>
      </w:pPr>
      <w:r w:rsidRPr="00CF5462">
        <w:rPr>
          <w:rFonts w:ascii="Arial" w:eastAsia="Times New Roman" w:hAnsi="Arial" w:cs="Arial"/>
          <w:b/>
          <w:bCs/>
          <w:color w:val="666666"/>
          <w:sz w:val="20"/>
          <w:szCs w:val="20"/>
        </w:rPr>
        <w:t xml:space="preserve">Un dato positivo es que el gobierno estaría pagando el vencimiento de </w:t>
      </w:r>
      <w:proofErr w:type="spellStart"/>
      <w:r w:rsidRPr="00CF5462">
        <w:rPr>
          <w:rFonts w:ascii="Arial" w:eastAsia="Times New Roman" w:hAnsi="Arial" w:cs="Arial"/>
          <w:b/>
          <w:bCs/>
          <w:color w:val="666666"/>
          <w:sz w:val="20"/>
          <w:szCs w:val="20"/>
        </w:rPr>
        <w:t>letes</w:t>
      </w:r>
      <w:proofErr w:type="spellEnd"/>
      <w:r w:rsidRPr="00CF5462">
        <w:rPr>
          <w:rFonts w:ascii="Arial" w:eastAsia="Times New Roman" w:hAnsi="Arial" w:cs="Arial"/>
          <w:b/>
          <w:bCs/>
          <w:color w:val="666666"/>
          <w:sz w:val="20"/>
          <w:szCs w:val="20"/>
        </w:rPr>
        <w:t xml:space="preserve"> y </w:t>
      </w:r>
      <w:proofErr w:type="spellStart"/>
      <w:r w:rsidRPr="00CF5462">
        <w:rPr>
          <w:rFonts w:ascii="Arial" w:eastAsia="Times New Roman" w:hAnsi="Arial" w:cs="Arial"/>
          <w:b/>
          <w:bCs/>
          <w:color w:val="666666"/>
          <w:sz w:val="20"/>
          <w:szCs w:val="20"/>
        </w:rPr>
        <w:t>lecap</w:t>
      </w:r>
      <w:proofErr w:type="spellEnd"/>
      <w:r w:rsidRPr="00CF5462">
        <w:rPr>
          <w:rFonts w:ascii="Arial" w:eastAsia="Times New Roman" w:hAnsi="Arial" w:cs="Arial"/>
          <w:b/>
          <w:bCs/>
          <w:color w:val="666666"/>
          <w:sz w:val="20"/>
          <w:szCs w:val="20"/>
        </w:rPr>
        <w:t xml:space="preserve">, sin embargo, estarían en dudas futuros pagos, las </w:t>
      </w:r>
      <w:proofErr w:type="spellStart"/>
      <w:r w:rsidRPr="00CF5462">
        <w:rPr>
          <w:rFonts w:ascii="Arial" w:eastAsia="Times New Roman" w:hAnsi="Arial" w:cs="Arial"/>
          <w:b/>
          <w:bCs/>
          <w:color w:val="666666"/>
          <w:sz w:val="20"/>
          <w:szCs w:val="20"/>
        </w:rPr>
        <w:t>letes</w:t>
      </w:r>
      <w:proofErr w:type="spellEnd"/>
      <w:r w:rsidRPr="00CF5462">
        <w:rPr>
          <w:rFonts w:ascii="Arial" w:eastAsia="Times New Roman" w:hAnsi="Arial" w:cs="Arial"/>
          <w:b/>
          <w:bCs/>
          <w:color w:val="666666"/>
          <w:sz w:val="20"/>
          <w:szCs w:val="20"/>
        </w:rPr>
        <w:t xml:space="preserve"> rinden el 500% en dólares y las </w:t>
      </w:r>
      <w:proofErr w:type="spellStart"/>
      <w:r w:rsidRPr="00CF5462">
        <w:rPr>
          <w:rFonts w:ascii="Arial" w:eastAsia="Times New Roman" w:hAnsi="Arial" w:cs="Arial"/>
          <w:b/>
          <w:bCs/>
          <w:color w:val="666666"/>
          <w:sz w:val="20"/>
          <w:szCs w:val="20"/>
        </w:rPr>
        <w:t>lecap</w:t>
      </w:r>
      <w:proofErr w:type="spellEnd"/>
      <w:r w:rsidRPr="00CF5462">
        <w:rPr>
          <w:rFonts w:ascii="Arial" w:eastAsia="Times New Roman" w:hAnsi="Arial" w:cs="Arial"/>
          <w:b/>
          <w:bCs/>
          <w:color w:val="666666"/>
          <w:sz w:val="20"/>
          <w:szCs w:val="20"/>
        </w:rPr>
        <w:t xml:space="preserve"> más del 200% en pesos.</w:t>
      </w:r>
    </w:p>
    <w:p w:rsidR="00CF5462" w:rsidRPr="00CF5462" w:rsidRDefault="00CF5462" w:rsidP="00CF5462">
      <w:pPr>
        <w:numPr>
          <w:ilvl w:val="0"/>
          <w:numId w:val="28"/>
        </w:numPr>
        <w:spacing w:before="100" w:beforeAutospacing="1" w:after="105" w:line="360" w:lineRule="auto"/>
        <w:jc w:val="both"/>
        <w:rPr>
          <w:rFonts w:ascii="Arial" w:eastAsia="Times New Roman" w:hAnsi="Arial" w:cs="Arial"/>
          <w:b/>
          <w:bCs/>
          <w:color w:val="666666"/>
          <w:sz w:val="20"/>
          <w:szCs w:val="20"/>
        </w:rPr>
      </w:pPr>
      <w:r w:rsidRPr="00CF5462">
        <w:rPr>
          <w:rFonts w:ascii="Arial" w:eastAsia="Times New Roman" w:hAnsi="Arial" w:cs="Arial"/>
          <w:b/>
          <w:bCs/>
          <w:color w:val="666666"/>
          <w:sz w:val="20"/>
          <w:szCs w:val="20"/>
        </w:rPr>
        <w:t>El gobierno está marcando la cancha macroeconómica, el ministro quiere superávit fiscal y comercial, pero solicita como mínimo algunos años de gracias.</w:t>
      </w:r>
    </w:p>
    <w:p w:rsidR="00CF5462" w:rsidRPr="00CF5462" w:rsidRDefault="00CF5462" w:rsidP="00CF5462">
      <w:pPr>
        <w:numPr>
          <w:ilvl w:val="0"/>
          <w:numId w:val="28"/>
        </w:numPr>
        <w:spacing w:before="100" w:beforeAutospacing="1" w:after="105" w:line="360" w:lineRule="auto"/>
        <w:jc w:val="both"/>
        <w:rPr>
          <w:rFonts w:ascii="Arial" w:eastAsia="Times New Roman" w:hAnsi="Arial" w:cs="Arial"/>
          <w:b/>
          <w:bCs/>
          <w:color w:val="666666"/>
          <w:sz w:val="20"/>
          <w:szCs w:val="20"/>
        </w:rPr>
      </w:pPr>
      <w:r w:rsidRPr="00CF5462">
        <w:rPr>
          <w:rFonts w:ascii="Arial" w:eastAsia="Times New Roman" w:hAnsi="Arial" w:cs="Arial"/>
          <w:b/>
          <w:bCs/>
          <w:color w:val="666666"/>
          <w:sz w:val="20"/>
          <w:szCs w:val="20"/>
        </w:rPr>
        <w:t xml:space="preserve">Sin que el ministro opine al respecto, los bancos están cancelando lo colocado en </w:t>
      </w:r>
      <w:proofErr w:type="spellStart"/>
      <w:r w:rsidRPr="00CF5462">
        <w:rPr>
          <w:rFonts w:ascii="Arial" w:eastAsia="Times New Roman" w:hAnsi="Arial" w:cs="Arial"/>
          <w:b/>
          <w:bCs/>
          <w:color w:val="666666"/>
          <w:sz w:val="20"/>
          <w:szCs w:val="20"/>
        </w:rPr>
        <w:t>leliq</w:t>
      </w:r>
      <w:proofErr w:type="spellEnd"/>
      <w:r w:rsidRPr="00CF5462">
        <w:rPr>
          <w:rFonts w:ascii="Arial" w:eastAsia="Times New Roman" w:hAnsi="Arial" w:cs="Arial"/>
          <w:b/>
          <w:bCs/>
          <w:color w:val="666666"/>
          <w:sz w:val="20"/>
          <w:szCs w:val="20"/>
        </w:rPr>
        <w:t>, parecería que están armando un colchón de liquidez para salir a colocar a tasas subsidiadas cuando el Banco Central lo disponga.</w:t>
      </w:r>
    </w:p>
    <w:p w:rsidR="00CF5462" w:rsidRPr="00CF5462" w:rsidRDefault="00CF5462" w:rsidP="00CF5462">
      <w:pPr>
        <w:numPr>
          <w:ilvl w:val="0"/>
          <w:numId w:val="28"/>
        </w:numPr>
        <w:spacing w:before="100" w:beforeAutospacing="1" w:after="105" w:line="360" w:lineRule="auto"/>
        <w:jc w:val="both"/>
        <w:rPr>
          <w:rFonts w:ascii="Arial" w:eastAsia="Times New Roman" w:hAnsi="Arial" w:cs="Arial"/>
          <w:b/>
          <w:bCs/>
          <w:color w:val="666666"/>
          <w:sz w:val="20"/>
          <w:szCs w:val="20"/>
        </w:rPr>
      </w:pPr>
      <w:r w:rsidRPr="00CF5462">
        <w:rPr>
          <w:rFonts w:ascii="Arial" w:eastAsia="Times New Roman" w:hAnsi="Arial" w:cs="Arial"/>
          <w:b/>
          <w:bCs/>
          <w:color w:val="666666"/>
          <w:sz w:val="20"/>
          <w:szCs w:val="20"/>
        </w:rPr>
        <w:t>La tasa que devenga la posición del dólar futuro de agosto de 2020 es del 54% anual, esto estaría marcando una sustancial baja en la tasa de corto plazo, ya que hoy la tasa de política monetaria se ubica en el 63% anual.</w:t>
      </w:r>
    </w:p>
    <w:p w:rsidR="00CF5462" w:rsidRPr="00CF5462" w:rsidRDefault="00CF5462" w:rsidP="00CF5462">
      <w:pPr>
        <w:numPr>
          <w:ilvl w:val="0"/>
          <w:numId w:val="28"/>
        </w:numPr>
        <w:spacing w:before="100" w:beforeAutospacing="1" w:after="105" w:line="360" w:lineRule="auto"/>
        <w:jc w:val="both"/>
        <w:rPr>
          <w:rFonts w:ascii="Arial" w:eastAsia="Times New Roman" w:hAnsi="Arial" w:cs="Arial"/>
          <w:b/>
          <w:bCs/>
          <w:color w:val="666666"/>
          <w:sz w:val="20"/>
          <w:szCs w:val="20"/>
        </w:rPr>
      </w:pPr>
      <w:r w:rsidRPr="00CF5462">
        <w:rPr>
          <w:rFonts w:ascii="Arial" w:eastAsia="Times New Roman" w:hAnsi="Arial" w:cs="Arial"/>
          <w:b/>
          <w:bCs/>
          <w:color w:val="666666"/>
          <w:sz w:val="20"/>
          <w:szCs w:val="20"/>
        </w:rPr>
        <w:t>La gran apuesta del equipo económico es reactivar vía créditos subsidiados a las pymes, no estarían en el horizonte las grandes empresas nacionales. Apoyarían a las familias vía créditos no bancarios, en una asociación con cooperativas y mutuales, cambiando el eje de las negociaciones que antes se realizaban con los bancos. Comprar acciones de bancos abstenerse.</w:t>
      </w:r>
    </w:p>
    <w:p w:rsidR="00CF5462" w:rsidRPr="00CF5462" w:rsidRDefault="00CF5462" w:rsidP="00CF5462">
      <w:pPr>
        <w:spacing w:before="100" w:beforeAutospacing="1" w:after="255" w:line="360" w:lineRule="auto"/>
        <w:jc w:val="both"/>
        <w:rPr>
          <w:rFonts w:ascii="Arial" w:eastAsia="Times New Roman" w:hAnsi="Arial" w:cs="Arial"/>
          <w:b/>
          <w:bCs/>
          <w:color w:val="666666"/>
          <w:sz w:val="20"/>
          <w:szCs w:val="20"/>
        </w:rPr>
      </w:pPr>
      <w:r w:rsidRPr="00CF5462">
        <w:rPr>
          <w:rFonts w:ascii="Arial" w:eastAsia="Times New Roman" w:hAnsi="Arial" w:cs="Arial"/>
          <w:color w:val="666666"/>
          <w:sz w:val="20"/>
          <w:szCs w:val="20"/>
        </w:rPr>
        <w:t>Contradicciones en el discurso</w:t>
      </w:r>
    </w:p>
    <w:p w:rsidR="00CF5462" w:rsidRPr="00CF5462" w:rsidRDefault="00CF5462" w:rsidP="00CF5462">
      <w:pPr>
        <w:spacing w:before="100" w:beforeAutospacing="1" w:after="255" w:line="360" w:lineRule="auto"/>
        <w:jc w:val="both"/>
        <w:rPr>
          <w:rFonts w:ascii="Arial" w:eastAsia="Times New Roman" w:hAnsi="Arial" w:cs="Arial"/>
          <w:b/>
          <w:bCs/>
          <w:color w:val="666666"/>
          <w:sz w:val="20"/>
          <w:szCs w:val="20"/>
        </w:rPr>
      </w:pPr>
      <w:r w:rsidRPr="00CF5462">
        <w:rPr>
          <w:rFonts w:ascii="Arial" w:eastAsia="Times New Roman" w:hAnsi="Arial" w:cs="Arial"/>
          <w:b/>
          <w:bCs/>
          <w:color w:val="666666"/>
          <w:sz w:val="20"/>
          <w:szCs w:val="20"/>
        </w:rPr>
        <w:t>Daría la sensación que el ministro de economía tiene un mandato de corto plazo y otro de largo plazo.</w:t>
      </w:r>
    </w:p>
    <w:p w:rsidR="00CF5462" w:rsidRPr="00CF5462" w:rsidRDefault="00CF5462" w:rsidP="00CF5462">
      <w:pPr>
        <w:spacing w:before="100" w:beforeAutospacing="1" w:after="255" w:line="360" w:lineRule="auto"/>
        <w:jc w:val="both"/>
        <w:rPr>
          <w:rFonts w:ascii="Arial" w:eastAsia="Times New Roman" w:hAnsi="Arial" w:cs="Arial"/>
          <w:b/>
          <w:bCs/>
          <w:color w:val="666666"/>
          <w:sz w:val="20"/>
          <w:szCs w:val="20"/>
        </w:rPr>
      </w:pPr>
      <w:r w:rsidRPr="00CF5462">
        <w:rPr>
          <w:rFonts w:ascii="Arial" w:eastAsia="Times New Roman" w:hAnsi="Arial" w:cs="Arial"/>
          <w:b/>
          <w:bCs/>
          <w:color w:val="666666"/>
          <w:sz w:val="20"/>
          <w:szCs w:val="20"/>
        </w:rPr>
        <w:t xml:space="preserve">A corto plazo la búsqueda es reanimar la economía, con un plan que lo podríamos llamar pro gasto, y fuertes impuestos a los sectores productivos, como es el caso de retenciones. </w:t>
      </w:r>
      <w:r w:rsidRPr="00CF5462">
        <w:rPr>
          <w:rFonts w:ascii="Arial" w:eastAsia="Times New Roman" w:hAnsi="Arial" w:cs="Arial"/>
          <w:b/>
          <w:bCs/>
          <w:color w:val="666666"/>
          <w:sz w:val="20"/>
          <w:szCs w:val="20"/>
        </w:rPr>
        <w:lastRenderedPageBreak/>
        <w:t>Resulta difícil entender como pretende reactivar la economía sin incentivos a la inversión, y castigos concretos como podría ser una suba de retenciones al campo.</w:t>
      </w:r>
    </w:p>
    <w:p w:rsidR="00CF5462" w:rsidRPr="00CF5462" w:rsidRDefault="00CF5462" w:rsidP="00CF5462">
      <w:pPr>
        <w:spacing w:before="100" w:beforeAutospacing="1" w:after="255" w:line="360" w:lineRule="auto"/>
        <w:jc w:val="both"/>
        <w:rPr>
          <w:rFonts w:ascii="Arial" w:eastAsia="Times New Roman" w:hAnsi="Arial" w:cs="Arial"/>
          <w:b/>
          <w:bCs/>
          <w:color w:val="666666"/>
          <w:sz w:val="20"/>
          <w:szCs w:val="20"/>
        </w:rPr>
      </w:pPr>
      <w:r w:rsidRPr="00CF5462">
        <w:rPr>
          <w:rFonts w:ascii="Arial" w:eastAsia="Times New Roman" w:hAnsi="Arial" w:cs="Arial"/>
          <w:b/>
          <w:bCs/>
          <w:color w:val="666666"/>
          <w:sz w:val="20"/>
          <w:szCs w:val="20"/>
        </w:rPr>
        <w:t>Parece interesante que el ministro ponga límites a la emisión indiscriminada de dinero. Sin embargo, inyectar pesos vía créditos a tasas subsidiadas podría generar un efecto similar que la emisión monetaria.</w:t>
      </w:r>
    </w:p>
    <w:p w:rsidR="00CF5462" w:rsidRPr="00CF5462" w:rsidRDefault="00CF5462" w:rsidP="00CF5462">
      <w:pPr>
        <w:spacing w:before="100" w:beforeAutospacing="1" w:after="255" w:line="360" w:lineRule="auto"/>
        <w:jc w:val="both"/>
        <w:rPr>
          <w:rFonts w:ascii="Arial" w:eastAsia="Times New Roman" w:hAnsi="Arial" w:cs="Arial"/>
          <w:b/>
          <w:bCs/>
          <w:color w:val="666666"/>
          <w:sz w:val="20"/>
          <w:szCs w:val="20"/>
        </w:rPr>
      </w:pPr>
      <w:r w:rsidRPr="00CF5462">
        <w:rPr>
          <w:rFonts w:ascii="Arial" w:eastAsia="Times New Roman" w:hAnsi="Arial" w:cs="Arial"/>
          <w:b/>
          <w:bCs/>
          <w:color w:val="666666"/>
          <w:sz w:val="20"/>
          <w:szCs w:val="20"/>
        </w:rPr>
        <w:t>No hay plan de largo plazo, el ministro no dio precisiones concretas de lo que será un plan de crecimiento. Quedo claro que pretende tener superávit fiscal, pero en los tiempos que el gobierno considere apropiado.</w:t>
      </w:r>
    </w:p>
    <w:p w:rsidR="00CF5462" w:rsidRPr="00CF5462" w:rsidRDefault="00CF5462" w:rsidP="00CF5462">
      <w:pPr>
        <w:spacing w:before="100" w:beforeAutospacing="1" w:after="255" w:line="360" w:lineRule="auto"/>
        <w:jc w:val="both"/>
        <w:rPr>
          <w:rFonts w:ascii="Arial" w:eastAsia="Times New Roman" w:hAnsi="Arial" w:cs="Arial"/>
          <w:b/>
          <w:bCs/>
          <w:color w:val="666666"/>
          <w:sz w:val="20"/>
          <w:szCs w:val="20"/>
        </w:rPr>
      </w:pPr>
      <w:r w:rsidRPr="00CF5462">
        <w:rPr>
          <w:rFonts w:ascii="Arial" w:eastAsia="Times New Roman" w:hAnsi="Arial" w:cs="Arial"/>
          <w:color w:val="666666"/>
          <w:sz w:val="20"/>
          <w:szCs w:val="20"/>
        </w:rPr>
        <w:t>Conclusiones</w:t>
      </w:r>
    </w:p>
    <w:p w:rsidR="00CF5462" w:rsidRPr="00CF5462" w:rsidRDefault="00CF5462" w:rsidP="00CF5462">
      <w:pPr>
        <w:numPr>
          <w:ilvl w:val="0"/>
          <w:numId w:val="29"/>
        </w:numPr>
        <w:spacing w:before="100" w:beforeAutospacing="1" w:after="105" w:line="360" w:lineRule="auto"/>
        <w:jc w:val="both"/>
        <w:rPr>
          <w:rFonts w:ascii="Arial" w:eastAsia="Times New Roman" w:hAnsi="Arial" w:cs="Arial"/>
          <w:b/>
          <w:bCs/>
          <w:color w:val="666666"/>
          <w:sz w:val="20"/>
          <w:szCs w:val="20"/>
        </w:rPr>
      </w:pPr>
      <w:r w:rsidRPr="00CF5462">
        <w:rPr>
          <w:rFonts w:ascii="Arial" w:eastAsia="Times New Roman" w:hAnsi="Arial" w:cs="Arial"/>
          <w:b/>
          <w:bCs/>
          <w:color w:val="666666"/>
          <w:sz w:val="20"/>
          <w:szCs w:val="20"/>
        </w:rPr>
        <w:t>El ministro de economía fue muy claro, pretende la reestructuración de la deuda que le permita crecer, empujar a la suba el gasto público en el año 2020, cobrar más impuestos, armar un plan de emergencia para los más necesitados, inyectar créditos subsidiados a las pymes, seguir con el cepo, tasa de interés negativa contra la inflación y créditos no bancarios para las familias. Acuerdo de precios y salarios, con suba de jubilaciones, pensiones y asignación universal por hijo.</w:t>
      </w:r>
    </w:p>
    <w:p w:rsidR="00CF5462" w:rsidRPr="00CF5462" w:rsidRDefault="00CF5462" w:rsidP="00CF5462">
      <w:pPr>
        <w:numPr>
          <w:ilvl w:val="0"/>
          <w:numId w:val="29"/>
        </w:numPr>
        <w:spacing w:before="100" w:beforeAutospacing="1" w:after="105" w:line="360" w:lineRule="auto"/>
        <w:jc w:val="both"/>
        <w:rPr>
          <w:rFonts w:ascii="Arial" w:eastAsia="Times New Roman" w:hAnsi="Arial" w:cs="Arial"/>
          <w:b/>
          <w:bCs/>
          <w:color w:val="666666"/>
          <w:sz w:val="20"/>
          <w:szCs w:val="20"/>
        </w:rPr>
      </w:pPr>
      <w:r w:rsidRPr="00CF5462">
        <w:rPr>
          <w:rFonts w:ascii="Arial" w:eastAsia="Times New Roman" w:hAnsi="Arial" w:cs="Arial"/>
          <w:b/>
          <w:bCs/>
          <w:color w:val="666666"/>
          <w:sz w:val="20"/>
          <w:szCs w:val="20"/>
        </w:rPr>
        <w:t>No destino un párrafo al crecimiento económico, al contrario, pretendería aplicar impuestos que tendrán impacto negativo sobre la producción futura de productos exportables, lo que reducirá los ingresos públicos y la entrada de dólares al país.</w:t>
      </w:r>
    </w:p>
    <w:p w:rsidR="00CF5462" w:rsidRPr="00CF5462" w:rsidRDefault="00CF5462" w:rsidP="00CF5462">
      <w:pPr>
        <w:numPr>
          <w:ilvl w:val="0"/>
          <w:numId w:val="29"/>
        </w:numPr>
        <w:spacing w:before="100" w:beforeAutospacing="1" w:after="105" w:line="360" w:lineRule="auto"/>
        <w:jc w:val="both"/>
        <w:rPr>
          <w:rFonts w:ascii="Arial" w:eastAsia="Times New Roman" w:hAnsi="Arial" w:cs="Arial"/>
          <w:b/>
          <w:bCs/>
          <w:color w:val="666666"/>
          <w:sz w:val="20"/>
          <w:szCs w:val="20"/>
        </w:rPr>
      </w:pPr>
      <w:r w:rsidRPr="00CF5462">
        <w:rPr>
          <w:rFonts w:ascii="Arial" w:eastAsia="Times New Roman" w:hAnsi="Arial" w:cs="Arial"/>
          <w:b/>
          <w:bCs/>
          <w:color w:val="666666"/>
          <w:sz w:val="20"/>
          <w:szCs w:val="20"/>
        </w:rPr>
        <w:t>Estamos frente a un plan de vuelo corto, que no invita a invertir a largo plazo. Casi diríamos que el plan es un placebo para curar las heridas de la herencia recibida, pero de ningún modo hay un sendero que nos allane el camino al crecimiento. La probable pesificación de tarifas, será un retroceso para la inversión.</w:t>
      </w:r>
    </w:p>
    <w:p w:rsidR="00CF5462" w:rsidRPr="00CF5462" w:rsidRDefault="00CF5462" w:rsidP="00CF5462">
      <w:pPr>
        <w:numPr>
          <w:ilvl w:val="0"/>
          <w:numId w:val="29"/>
        </w:numPr>
        <w:spacing w:before="100" w:beforeAutospacing="1" w:after="105" w:line="360" w:lineRule="auto"/>
        <w:jc w:val="both"/>
        <w:rPr>
          <w:rFonts w:ascii="Arial" w:eastAsia="Times New Roman" w:hAnsi="Arial" w:cs="Arial"/>
          <w:b/>
          <w:bCs/>
          <w:color w:val="666666"/>
          <w:sz w:val="20"/>
          <w:szCs w:val="20"/>
        </w:rPr>
      </w:pPr>
      <w:r w:rsidRPr="00CF5462">
        <w:rPr>
          <w:rFonts w:ascii="Arial" w:eastAsia="Times New Roman" w:hAnsi="Arial" w:cs="Arial"/>
          <w:b/>
          <w:bCs/>
          <w:color w:val="666666"/>
          <w:sz w:val="20"/>
          <w:szCs w:val="20"/>
        </w:rPr>
        <w:t xml:space="preserve">El ministro hablo de la pesada herencia recibida, hace cuatro años atrás Mauricio </w:t>
      </w:r>
      <w:proofErr w:type="spellStart"/>
      <w:r w:rsidRPr="00CF5462">
        <w:rPr>
          <w:rFonts w:ascii="Arial" w:eastAsia="Times New Roman" w:hAnsi="Arial" w:cs="Arial"/>
          <w:b/>
          <w:bCs/>
          <w:color w:val="666666"/>
          <w:sz w:val="20"/>
          <w:szCs w:val="20"/>
        </w:rPr>
        <w:t>Macri</w:t>
      </w:r>
      <w:proofErr w:type="spellEnd"/>
      <w:r w:rsidRPr="00CF5462">
        <w:rPr>
          <w:rFonts w:ascii="Arial" w:eastAsia="Times New Roman" w:hAnsi="Arial" w:cs="Arial"/>
          <w:b/>
          <w:bCs/>
          <w:color w:val="666666"/>
          <w:sz w:val="20"/>
          <w:szCs w:val="20"/>
        </w:rPr>
        <w:t xml:space="preserve"> recibía un gobierno con un déficit fiscal primario de U$S 25.000 millones, hoy lo entrega con U$S 2.500 millones. El déficit de balanza comercial era de U$S 3.000 millones y hoy tenemos un superávit de U$S 13.673 millones. El tipo de cambio que recibió </w:t>
      </w:r>
      <w:proofErr w:type="spellStart"/>
      <w:r w:rsidRPr="00CF5462">
        <w:rPr>
          <w:rFonts w:ascii="Arial" w:eastAsia="Times New Roman" w:hAnsi="Arial" w:cs="Arial"/>
          <w:b/>
          <w:bCs/>
          <w:color w:val="666666"/>
          <w:sz w:val="20"/>
          <w:szCs w:val="20"/>
        </w:rPr>
        <w:t>Macri</w:t>
      </w:r>
      <w:proofErr w:type="spellEnd"/>
      <w:r w:rsidRPr="00CF5462">
        <w:rPr>
          <w:rFonts w:ascii="Arial" w:eastAsia="Times New Roman" w:hAnsi="Arial" w:cs="Arial"/>
          <w:b/>
          <w:bCs/>
          <w:color w:val="666666"/>
          <w:sz w:val="20"/>
          <w:szCs w:val="20"/>
        </w:rPr>
        <w:t xml:space="preserve"> era muy bajo, se ubicaba en $ 9,70 cuando el dólar de largo plazo era de $ 15,40. Hoy </w:t>
      </w:r>
      <w:proofErr w:type="spellStart"/>
      <w:r w:rsidRPr="00CF5462">
        <w:rPr>
          <w:rFonts w:ascii="Arial" w:eastAsia="Times New Roman" w:hAnsi="Arial" w:cs="Arial"/>
          <w:b/>
          <w:bCs/>
          <w:color w:val="666666"/>
          <w:sz w:val="20"/>
          <w:szCs w:val="20"/>
        </w:rPr>
        <w:t>Macri</w:t>
      </w:r>
      <w:proofErr w:type="spellEnd"/>
      <w:r w:rsidRPr="00CF5462">
        <w:rPr>
          <w:rFonts w:ascii="Arial" w:eastAsia="Times New Roman" w:hAnsi="Arial" w:cs="Arial"/>
          <w:b/>
          <w:bCs/>
          <w:color w:val="666666"/>
          <w:sz w:val="20"/>
          <w:szCs w:val="20"/>
        </w:rPr>
        <w:t xml:space="preserve"> entregó el mando con un dólar de $ 60,00 y un dólar de largo plazo de $ 55,00.</w:t>
      </w:r>
    </w:p>
    <w:p w:rsidR="00CF5462" w:rsidRPr="00CF5462" w:rsidRDefault="00CF5462" w:rsidP="00CF5462">
      <w:pPr>
        <w:numPr>
          <w:ilvl w:val="0"/>
          <w:numId w:val="29"/>
        </w:numPr>
        <w:spacing w:before="100" w:beforeAutospacing="1" w:after="105" w:line="360" w:lineRule="auto"/>
        <w:jc w:val="both"/>
        <w:rPr>
          <w:rFonts w:ascii="Arial" w:eastAsia="Times New Roman" w:hAnsi="Arial" w:cs="Arial"/>
          <w:b/>
          <w:bCs/>
          <w:color w:val="666666"/>
          <w:sz w:val="20"/>
          <w:szCs w:val="20"/>
        </w:rPr>
      </w:pPr>
      <w:r w:rsidRPr="00CF5462">
        <w:rPr>
          <w:rFonts w:ascii="Arial" w:eastAsia="Times New Roman" w:hAnsi="Arial" w:cs="Arial"/>
          <w:b/>
          <w:bCs/>
          <w:color w:val="666666"/>
          <w:sz w:val="20"/>
          <w:szCs w:val="20"/>
        </w:rPr>
        <w:t xml:space="preserve">La economía en 4 años cayó, generó más desempleo y pobreza, sin embargo, hay una plataforma de partida en algunos indicadores mucho mejor que un año atrás. </w:t>
      </w:r>
      <w:r w:rsidRPr="00CF5462">
        <w:rPr>
          <w:rFonts w:ascii="Arial" w:eastAsia="Times New Roman" w:hAnsi="Arial" w:cs="Arial"/>
          <w:b/>
          <w:bCs/>
          <w:color w:val="666666"/>
          <w:sz w:val="20"/>
          <w:szCs w:val="20"/>
        </w:rPr>
        <w:lastRenderedPageBreak/>
        <w:t>Resulta extraño que solo se hayan expresado todos los aspectos negativos, y se soslayaron los positivos. Discurso totalizador.</w:t>
      </w:r>
    </w:p>
    <w:p w:rsidR="00CF5462" w:rsidRPr="00CF5462" w:rsidRDefault="00CF5462" w:rsidP="00CF5462">
      <w:pPr>
        <w:numPr>
          <w:ilvl w:val="0"/>
          <w:numId w:val="29"/>
        </w:numPr>
        <w:spacing w:before="100" w:beforeAutospacing="1" w:after="105" w:line="360" w:lineRule="auto"/>
        <w:jc w:val="both"/>
        <w:rPr>
          <w:rFonts w:ascii="Arial" w:eastAsia="Times New Roman" w:hAnsi="Arial" w:cs="Arial"/>
          <w:b/>
          <w:bCs/>
          <w:color w:val="666666"/>
          <w:sz w:val="20"/>
          <w:szCs w:val="20"/>
        </w:rPr>
      </w:pPr>
      <w:r w:rsidRPr="00CF5462">
        <w:rPr>
          <w:rFonts w:ascii="Arial" w:eastAsia="Times New Roman" w:hAnsi="Arial" w:cs="Arial"/>
          <w:b/>
          <w:bCs/>
          <w:color w:val="666666"/>
          <w:sz w:val="20"/>
          <w:szCs w:val="20"/>
        </w:rPr>
        <w:t>Nuestra consigna es “a sacar créditos que nos regalan el dinero”, comprar activos para mejorar la productividad y eficiencia de los negocios, tenemos un recreo de 4 meses, lo que viene después es una gran incógnita.</w:t>
      </w:r>
    </w:p>
    <w:p w:rsidR="00CF5462" w:rsidRPr="00CF5462" w:rsidRDefault="00CF5462" w:rsidP="00CF5462">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20"/>
          <w:szCs w:val="20"/>
        </w:rPr>
      </w:pPr>
    </w:p>
    <w:sectPr w:rsidR="00CF5462" w:rsidRPr="00CF5462" w:rsidSect="002A1585">
      <w:headerReference w:type="default" r:id="rId11"/>
      <w:footerReference w:type="default" r:id="rId12"/>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094" w:rsidRDefault="00D86094" w:rsidP="00A22916">
      <w:r>
        <w:separator/>
      </w:r>
    </w:p>
  </w:endnote>
  <w:endnote w:type="continuationSeparator" w:id="0">
    <w:p w:rsidR="00D86094" w:rsidRDefault="00D86094"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094" w:rsidRDefault="00D86094"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CF5462" w:rsidRPr="00CF5462">
        <w:rPr>
          <w:rFonts w:asciiTheme="majorHAnsi" w:hAnsiTheme="majorHAnsi"/>
          <w:noProof/>
        </w:rPr>
        <w:t>9</w:t>
      </w:r>
    </w:fldSimple>
  </w:p>
  <w:p w:rsidR="00D86094" w:rsidRDefault="00D86094" w:rsidP="0063669F">
    <w:pPr>
      <w:pStyle w:val="Piedepgina"/>
    </w:pPr>
  </w:p>
  <w:p w:rsidR="00D86094" w:rsidRDefault="00D86094" w:rsidP="0063669F">
    <w:pPr>
      <w:pStyle w:val="Piedepgina"/>
    </w:pPr>
  </w:p>
  <w:p w:rsidR="00D86094" w:rsidRDefault="00D86094"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094" w:rsidRDefault="00D86094" w:rsidP="00A22916">
      <w:r>
        <w:separator/>
      </w:r>
    </w:p>
  </w:footnote>
  <w:footnote w:type="continuationSeparator" w:id="0">
    <w:p w:rsidR="00D86094" w:rsidRDefault="00D86094"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094" w:rsidRDefault="00D86094"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50-19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D0343E3"/>
    <w:multiLevelType w:val="multilevel"/>
    <w:tmpl w:val="4DF2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5">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F06C0A"/>
    <w:multiLevelType w:val="multilevel"/>
    <w:tmpl w:val="1F8E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0D74230"/>
    <w:multiLevelType w:val="hybridMultilevel"/>
    <w:tmpl w:val="FA123B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43E61FDB"/>
    <w:multiLevelType w:val="hybridMultilevel"/>
    <w:tmpl w:val="762AA0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44163635"/>
    <w:multiLevelType w:val="multilevel"/>
    <w:tmpl w:val="A0BA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6">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8"/>
  </w:num>
  <w:num w:numId="7">
    <w:abstractNumId w:val="26"/>
  </w:num>
  <w:num w:numId="8">
    <w:abstractNumId w:val="25"/>
  </w:num>
  <w:num w:numId="9">
    <w:abstractNumId w:val="14"/>
  </w:num>
  <w:num w:numId="10">
    <w:abstractNumId w:val="23"/>
  </w:num>
  <w:num w:numId="11">
    <w:abstractNumId w:val="13"/>
  </w:num>
  <w:num w:numId="12">
    <w:abstractNumId w:val="15"/>
  </w:num>
  <w:num w:numId="13">
    <w:abstractNumId w:val="16"/>
  </w:num>
  <w:num w:numId="14">
    <w:abstractNumId w:val="7"/>
  </w:num>
  <w:num w:numId="15">
    <w:abstractNumId w:val="10"/>
  </w:num>
  <w:num w:numId="16">
    <w:abstractNumId w:val="4"/>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1"/>
  </w:num>
  <w:num w:numId="20">
    <w:abstractNumId w:val="2"/>
  </w:num>
  <w:num w:numId="21">
    <w:abstractNumId w:val="6"/>
  </w:num>
  <w:num w:numId="22">
    <w:abstractNumId w:val="24"/>
  </w:num>
  <w:num w:numId="23">
    <w:abstractNumId w:val="3"/>
  </w:num>
  <w:num w:numId="24">
    <w:abstractNumId w:val="5"/>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8"/>
  </w:num>
  <w:num w:numId="28">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8"/>
    <w:lvlOverride w:ilvl="0">
      <w:lvl w:ilvl="0">
        <w:numFmt w:val="bullet"/>
        <w:lvlText w:val=""/>
        <w:lvlJc w:val="left"/>
        <w:pPr>
          <w:tabs>
            <w:tab w:val="num" w:pos="720"/>
          </w:tabs>
          <w:ind w:left="720" w:hanging="360"/>
        </w:pPr>
        <w:rPr>
          <w:rFonts w:ascii="Wingdings" w:hAnsi="Wingdings" w:hint="default"/>
          <w:sz w:val="20"/>
        </w:rPr>
      </w:lvl>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6B7B"/>
    <w:rsid w:val="00010986"/>
    <w:rsid w:val="00010993"/>
    <w:rsid w:val="00011E32"/>
    <w:rsid w:val="000141BB"/>
    <w:rsid w:val="0001798D"/>
    <w:rsid w:val="00020720"/>
    <w:rsid w:val="00024857"/>
    <w:rsid w:val="00024BA0"/>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87F90"/>
    <w:rsid w:val="000902D4"/>
    <w:rsid w:val="00091AF1"/>
    <w:rsid w:val="000938D2"/>
    <w:rsid w:val="00093DD6"/>
    <w:rsid w:val="000959E0"/>
    <w:rsid w:val="000A444A"/>
    <w:rsid w:val="000A498D"/>
    <w:rsid w:val="000B1065"/>
    <w:rsid w:val="000B25E4"/>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14D"/>
    <w:rsid w:val="000E66E0"/>
    <w:rsid w:val="000E7201"/>
    <w:rsid w:val="000F400D"/>
    <w:rsid w:val="000F62E1"/>
    <w:rsid w:val="000F64B0"/>
    <w:rsid w:val="000F6D2A"/>
    <w:rsid w:val="0010216E"/>
    <w:rsid w:val="00105129"/>
    <w:rsid w:val="00105285"/>
    <w:rsid w:val="00106118"/>
    <w:rsid w:val="00106BEE"/>
    <w:rsid w:val="00107640"/>
    <w:rsid w:val="0011008C"/>
    <w:rsid w:val="0011767B"/>
    <w:rsid w:val="00122901"/>
    <w:rsid w:val="0012658E"/>
    <w:rsid w:val="00126ACA"/>
    <w:rsid w:val="00134995"/>
    <w:rsid w:val="00135AA0"/>
    <w:rsid w:val="00135BCF"/>
    <w:rsid w:val="00136B14"/>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18AA"/>
    <w:rsid w:val="00193005"/>
    <w:rsid w:val="00195BB4"/>
    <w:rsid w:val="0019731C"/>
    <w:rsid w:val="001A31B7"/>
    <w:rsid w:val="001A4644"/>
    <w:rsid w:val="001A5BCA"/>
    <w:rsid w:val="001B127D"/>
    <w:rsid w:val="001B1392"/>
    <w:rsid w:val="001B1B26"/>
    <w:rsid w:val="001B1C4E"/>
    <w:rsid w:val="001B393D"/>
    <w:rsid w:val="001B4815"/>
    <w:rsid w:val="001B4C1D"/>
    <w:rsid w:val="001B5A3B"/>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41AE"/>
    <w:rsid w:val="00227B89"/>
    <w:rsid w:val="002312B9"/>
    <w:rsid w:val="00232F64"/>
    <w:rsid w:val="00233626"/>
    <w:rsid w:val="00233E5D"/>
    <w:rsid w:val="00234178"/>
    <w:rsid w:val="002350C4"/>
    <w:rsid w:val="00236C10"/>
    <w:rsid w:val="00242334"/>
    <w:rsid w:val="00245419"/>
    <w:rsid w:val="002462C5"/>
    <w:rsid w:val="002514CE"/>
    <w:rsid w:val="00251B56"/>
    <w:rsid w:val="002551A7"/>
    <w:rsid w:val="00257FF4"/>
    <w:rsid w:val="002623BD"/>
    <w:rsid w:val="002624C4"/>
    <w:rsid w:val="0026302D"/>
    <w:rsid w:val="002638FA"/>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1FF7"/>
    <w:rsid w:val="002B2A40"/>
    <w:rsid w:val="002B3E46"/>
    <w:rsid w:val="002B5F87"/>
    <w:rsid w:val="002C01BA"/>
    <w:rsid w:val="002C2500"/>
    <w:rsid w:val="002C3ED4"/>
    <w:rsid w:val="002C5F80"/>
    <w:rsid w:val="002D15E2"/>
    <w:rsid w:val="002D1AF7"/>
    <w:rsid w:val="002D2CE9"/>
    <w:rsid w:val="002D5824"/>
    <w:rsid w:val="002D6A6D"/>
    <w:rsid w:val="002D7BF7"/>
    <w:rsid w:val="002D7C89"/>
    <w:rsid w:val="002D7DD8"/>
    <w:rsid w:val="002E03B4"/>
    <w:rsid w:val="002E2C7D"/>
    <w:rsid w:val="002E3DF1"/>
    <w:rsid w:val="002E57F7"/>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2475"/>
    <w:rsid w:val="00351287"/>
    <w:rsid w:val="00354827"/>
    <w:rsid w:val="00354D8B"/>
    <w:rsid w:val="00356793"/>
    <w:rsid w:val="00356AE3"/>
    <w:rsid w:val="00356E00"/>
    <w:rsid w:val="00363D85"/>
    <w:rsid w:val="00366324"/>
    <w:rsid w:val="003669E8"/>
    <w:rsid w:val="0037064F"/>
    <w:rsid w:val="00371368"/>
    <w:rsid w:val="00373FA9"/>
    <w:rsid w:val="00383AD6"/>
    <w:rsid w:val="00383E0A"/>
    <w:rsid w:val="00384AD2"/>
    <w:rsid w:val="00387F1F"/>
    <w:rsid w:val="003A0047"/>
    <w:rsid w:val="003A1FE2"/>
    <w:rsid w:val="003A2813"/>
    <w:rsid w:val="003A570E"/>
    <w:rsid w:val="003A7B3C"/>
    <w:rsid w:val="003B2804"/>
    <w:rsid w:val="003B3D0A"/>
    <w:rsid w:val="003B674E"/>
    <w:rsid w:val="003B7810"/>
    <w:rsid w:val="003C0DB9"/>
    <w:rsid w:val="003D0EDE"/>
    <w:rsid w:val="003D1833"/>
    <w:rsid w:val="003D7987"/>
    <w:rsid w:val="003E023C"/>
    <w:rsid w:val="003E1EB2"/>
    <w:rsid w:val="003E3086"/>
    <w:rsid w:val="003E4228"/>
    <w:rsid w:val="003E7115"/>
    <w:rsid w:val="003F0D3A"/>
    <w:rsid w:val="003F1343"/>
    <w:rsid w:val="003F71CB"/>
    <w:rsid w:val="004009D3"/>
    <w:rsid w:val="00401141"/>
    <w:rsid w:val="00405A49"/>
    <w:rsid w:val="00405AC5"/>
    <w:rsid w:val="004106EC"/>
    <w:rsid w:val="00410B9F"/>
    <w:rsid w:val="00415ED4"/>
    <w:rsid w:val="0041650B"/>
    <w:rsid w:val="0042119B"/>
    <w:rsid w:val="00422105"/>
    <w:rsid w:val="0042261A"/>
    <w:rsid w:val="0042382F"/>
    <w:rsid w:val="004241A4"/>
    <w:rsid w:val="00424B12"/>
    <w:rsid w:val="0042600F"/>
    <w:rsid w:val="004267D1"/>
    <w:rsid w:val="00426D05"/>
    <w:rsid w:val="00430834"/>
    <w:rsid w:val="00430CD3"/>
    <w:rsid w:val="00435CE1"/>
    <w:rsid w:val="00437F8F"/>
    <w:rsid w:val="004407D1"/>
    <w:rsid w:val="00443529"/>
    <w:rsid w:val="00443CD0"/>
    <w:rsid w:val="004503E0"/>
    <w:rsid w:val="00450B7D"/>
    <w:rsid w:val="00455005"/>
    <w:rsid w:val="00455EBD"/>
    <w:rsid w:val="004569CE"/>
    <w:rsid w:val="00456DA9"/>
    <w:rsid w:val="00461716"/>
    <w:rsid w:val="00462760"/>
    <w:rsid w:val="0047057E"/>
    <w:rsid w:val="004712E3"/>
    <w:rsid w:val="0047344F"/>
    <w:rsid w:val="0047412D"/>
    <w:rsid w:val="004760AD"/>
    <w:rsid w:val="00477975"/>
    <w:rsid w:val="00483559"/>
    <w:rsid w:val="00483F29"/>
    <w:rsid w:val="00484F8D"/>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C725D"/>
    <w:rsid w:val="004D144A"/>
    <w:rsid w:val="004D1D0A"/>
    <w:rsid w:val="004D2218"/>
    <w:rsid w:val="004D3372"/>
    <w:rsid w:val="004D4BFE"/>
    <w:rsid w:val="004D5A93"/>
    <w:rsid w:val="004D7E15"/>
    <w:rsid w:val="004E007C"/>
    <w:rsid w:val="004E11B3"/>
    <w:rsid w:val="004E1502"/>
    <w:rsid w:val="004E150F"/>
    <w:rsid w:val="004E2070"/>
    <w:rsid w:val="004E228E"/>
    <w:rsid w:val="004E331D"/>
    <w:rsid w:val="004E35D1"/>
    <w:rsid w:val="004F08A4"/>
    <w:rsid w:val="004F0EE9"/>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463F4"/>
    <w:rsid w:val="00550055"/>
    <w:rsid w:val="005516F1"/>
    <w:rsid w:val="00552D41"/>
    <w:rsid w:val="005533E7"/>
    <w:rsid w:val="00557631"/>
    <w:rsid w:val="005578BC"/>
    <w:rsid w:val="005616AD"/>
    <w:rsid w:val="005616C9"/>
    <w:rsid w:val="00561E9D"/>
    <w:rsid w:val="00567FFD"/>
    <w:rsid w:val="0057177B"/>
    <w:rsid w:val="0057178D"/>
    <w:rsid w:val="0058111C"/>
    <w:rsid w:val="005816C7"/>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6740E"/>
    <w:rsid w:val="00667F41"/>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5D05"/>
    <w:rsid w:val="006A6823"/>
    <w:rsid w:val="006A7B3D"/>
    <w:rsid w:val="006B099D"/>
    <w:rsid w:val="006B26A6"/>
    <w:rsid w:val="006B30E1"/>
    <w:rsid w:val="006C0099"/>
    <w:rsid w:val="006C0A51"/>
    <w:rsid w:val="006C1EFB"/>
    <w:rsid w:val="006C306C"/>
    <w:rsid w:val="006C66B7"/>
    <w:rsid w:val="006D1AF4"/>
    <w:rsid w:val="006D716F"/>
    <w:rsid w:val="006E5CD5"/>
    <w:rsid w:val="006E75AB"/>
    <w:rsid w:val="006E79DC"/>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36B72"/>
    <w:rsid w:val="0074014A"/>
    <w:rsid w:val="00742655"/>
    <w:rsid w:val="00745098"/>
    <w:rsid w:val="0074517C"/>
    <w:rsid w:val="00745FFC"/>
    <w:rsid w:val="007463A3"/>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22DF"/>
    <w:rsid w:val="007872C0"/>
    <w:rsid w:val="0078779E"/>
    <w:rsid w:val="00793394"/>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4195"/>
    <w:rsid w:val="007F74B0"/>
    <w:rsid w:val="00801B11"/>
    <w:rsid w:val="008035FD"/>
    <w:rsid w:val="008051D9"/>
    <w:rsid w:val="008057A5"/>
    <w:rsid w:val="00807984"/>
    <w:rsid w:val="00807F0C"/>
    <w:rsid w:val="0081031F"/>
    <w:rsid w:val="00811BCC"/>
    <w:rsid w:val="00812E22"/>
    <w:rsid w:val="008150F3"/>
    <w:rsid w:val="00815E69"/>
    <w:rsid w:val="00816D24"/>
    <w:rsid w:val="008238D3"/>
    <w:rsid w:val="008316C9"/>
    <w:rsid w:val="008336C6"/>
    <w:rsid w:val="00836D12"/>
    <w:rsid w:val="00840BE3"/>
    <w:rsid w:val="00843537"/>
    <w:rsid w:val="00844AE1"/>
    <w:rsid w:val="0084567A"/>
    <w:rsid w:val="00845DCC"/>
    <w:rsid w:val="00846256"/>
    <w:rsid w:val="00846607"/>
    <w:rsid w:val="00846A61"/>
    <w:rsid w:val="00850DD9"/>
    <w:rsid w:val="00856675"/>
    <w:rsid w:val="00857156"/>
    <w:rsid w:val="0086182D"/>
    <w:rsid w:val="00861F2E"/>
    <w:rsid w:val="008637DE"/>
    <w:rsid w:val="00865723"/>
    <w:rsid w:val="00865DEA"/>
    <w:rsid w:val="00866BC8"/>
    <w:rsid w:val="00872D6C"/>
    <w:rsid w:val="0087497C"/>
    <w:rsid w:val="008753DB"/>
    <w:rsid w:val="0087707A"/>
    <w:rsid w:val="0088157D"/>
    <w:rsid w:val="0088764F"/>
    <w:rsid w:val="00890DB8"/>
    <w:rsid w:val="00894C64"/>
    <w:rsid w:val="0089551F"/>
    <w:rsid w:val="00897BE8"/>
    <w:rsid w:val="008A40E4"/>
    <w:rsid w:val="008A4816"/>
    <w:rsid w:val="008B03B5"/>
    <w:rsid w:val="008B169F"/>
    <w:rsid w:val="008B173D"/>
    <w:rsid w:val="008B48AF"/>
    <w:rsid w:val="008B4F6A"/>
    <w:rsid w:val="008B6E61"/>
    <w:rsid w:val="008C04BC"/>
    <w:rsid w:val="008C1537"/>
    <w:rsid w:val="008C19D9"/>
    <w:rsid w:val="008C33A4"/>
    <w:rsid w:val="008C4219"/>
    <w:rsid w:val="008C6A53"/>
    <w:rsid w:val="008C7B0A"/>
    <w:rsid w:val="008D06FE"/>
    <w:rsid w:val="008D1DA1"/>
    <w:rsid w:val="008D2886"/>
    <w:rsid w:val="008D655B"/>
    <w:rsid w:val="008D68D6"/>
    <w:rsid w:val="008E201C"/>
    <w:rsid w:val="008E2D8B"/>
    <w:rsid w:val="008E3464"/>
    <w:rsid w:val="008E3E10"/>
    <w:rsid w:val="008E6731"/>
    <w:rsid w:val="008E7F92"/>
    <w:rsid w:val="008F297F"/>
    <w:rsid w:val="008F2D14"/>
    <w:rsid w:val="008F3757"/>
    <w:rsid w:val="008F4E26"/>
    <w:rsid w:val="008F5DA5"/>
    <w:rsid w:val="008F6037"/>
    <w:rsid w:val="008F6D44"/>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35DC5"/>
    <w:rsid w:val="00943E8A"/>
    <w:rsid w:val="009454BF"/>
    <w:rsid w:val="00947871"/>
    <w:rsid w:val="00953583"/>
    <w:rsid w:val="00954837"/>
    <w:rsid w:val="00955F3D"/>
    <w:rsid w:val="00957658"/>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766E"/>
    <w:rsid w:val="009A5003"/>
    <w:rsid w:val="009A513D"/>
    <w:rsid w:val="009B1798"/>
    <w:rsid w:val="009B23B8"/>
    <w:rsid w:val="009B38E7"/>
    <w:rsid w:val="009B5379"/>
    <w:rsid w:val="009B5884"/>
    <w:rsid w:val="009C1F29"/>
    <w:rsid w:val="009C49CB"/>
    <w:rsid w:val="009D2066"/>
    <w:rsid w:val="009D44D5"/>
    <w:rsid w:val="009D4CBF"/>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771F"/>
    <w:rsid w:val="00A110AB"/>
    <w:rsid w:val="00A11501"/>
    <w:rsid w:val="00A15786"/>
    <w:rsid w:val="00A15D1D"/>
    <w:rsid w:val="00A17730"/>
    <w:rsid w:val="00A20A80"/>
    <w:rsid w:val="00A22916"/>
    <w:rsid w:val="00A2454C"/>
    <w:rsid w:val="00A26B26"/>
    <w:rsid w:val="00A27C2E"/>
    <w:rsid w:val="00A31925"/>
    <w:rsid w:val="00A3209A"/>
    <w:rsid w:val="00A377D1"/>
    <w:rsid w:val="00A47B56"/>
    <w:rsid w:val="00A47D12"/>
    <w:rsid w:val="00A47E9E"/>
    <w:rsid w:val="00A502B6"/>
    <w:rsid w:val="00A51C02"/>
    <w:rsid w:val="00A52162"/>
    <w:rsid w:val="00A57ABE"/>
    <w:rsid w:val="00A635DA"/>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B2D"/>
    <w:rsid w:val="00A9401F"/>
    <w:rsid w:val="00A94DF6"/>
    <w:rsid w:val="00A97F7F"/>
    <w:rsid w:val="00AA0C38"/>
    <w:rsid w:val="00AA2436"/>
    <w:rsid w:val="00AA2AB5"/>
    <w:rsid w:val="00AA5FC8"/>
    <w:rsid w:val="00AB18C4"/>
    <w:rsid w:val="00AB3C8F"/>
    <w:rsid w:val="00AB4BDE"/>
    <w:rsid w:val="00AB7BC2"/>
    <w:rsid w:val="00AC08D6"/>
    <w:rsid w:val="00AC0D04"/>
    <w:rsid w:val="00AC1F32"/>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7753"/>
    <w:rsid w:val="00B416A0"/>
    <w:rsid w:val="00B436EB"/>
    <w:rsid w:val="00B44ED8"/>
    <w:rsid w:val="00B46298"/>
    <w:rsid w:val="00B462DB"/>
    <w:rsid w:val="00B50095"/>
    <w:rsid w:val="00B5082D"/>
    <w:rsid w:val="00B50F66"/>
    <w:rsid w:val="00B515D9"/>
    <w:rsid w:val="00B53C7F"/>
    <w:rsid w:val="00B5534A"/>
    <w:rsid w:val="00B557A9"/>
    <w:rsid w:val="00B57BDD"/>
    <w:rsid w:val="00B60288"/>
    <w:rsid w:val="00B63990"/>
    <w:rsid w:val="00B64475"/>
    <w:rsid w:val="00B64DBB"/>
    <w:rsid w:val="00B6745A"/>
    <w:rsid w:val="00B702F9"/>
    <w:rsid w:val="00B82568"/>
    <w:rsid w:val="00B82617"/>
    <w:rsid w:val="00B82ADA"/>
    <w:rsid w:val="00B84234"/>
    <w:rsid w:val="00B85427"/>
    <w:rsid w:val="00B855EE"/>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520F"/>
    <w:rsid w:val="00BB7EF7"/>
    <w:rsid w:val="00BC0A33"/>
    <w:rsid w:val="00BC7080"/>
    <w:rsid w:val="00BC725C"/>
    <w:rsid w:val="00BC72AF"/>
    <w:rsid w:val="00BD1199"/>
    <w:rsid w:val="00BD286D"/>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063FC"/>
    <w:rsid w:val="00C16897"/>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E050C"/>
    <w:rsid w:val="00CE0F03"/>
    <w:rsid w:val="00CE1B5C"/>
    <w:rsid w:val="00CE2963"/>
    <w:rsid w:val="00CE400C"/>
    <w:rsid w:val="00CE478D"/>
    <w:rsid w:val="00CE6FC5"/>
    <w:rsid w:val="00CE7E51"/>
    <w:rsid w:val="00CF02BA"/>
    <w:rsid w:val="00CF5462"/>
    <w:rsid w:val="00D00832"/>
    <w:rsid w:val="00D02745"/>
    <w:rsid w:val="00D03A65"/>
    <w:rsid w:val="00D05D33"/>
    <w:rsid w:val="00D05E65"/>
    <w:rsid w:val="00D06244"/>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4586D"/>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6094"/>
    <w:rsid w:val="00D8733D"/>
    <w:rsid w:val="00D90A26"/>
    <w:rsid w:val="00D951BB"/>
    <w:rsid w:val="00D95910"/>
    <w:rsid w:val="00D978A4"/>
    <w:rsid w:val="00DA34B5"/>
    <w:rsid w:val="00DA4170"/>
    <w:rsid w:val="00DB374E"/>
    <w:rsid w:val="00DB3E82"/>
    <w:rsid w:val="00DB4EAF"/>
    <w:rsid w:val="00DB5C26"/>
    <w:rsid w:val="00DB660E"/>
    <w:rsid w:val="00DB7AEE"/>
    <w:rsid w:val="00DC01EF"/>
    <w:rsid w:val="00DC11B0"/>
    <w:rsid w:val="00DC197E"/>
    <w:rsid w:val="00DC3958"/>
    <w:rsid w:val="00DC5162"/>
    <w:rsid w:val="00DC67E6"/>
    <w:rsid w:val="00DC697C"/>
    <w:rsid w:val="00DC76A1"/>
    <w:rsid w:val="00DD4EB3"/>
    <w:rsid w:val="00DD71F0"/>
    <w:rsid w:val="00DE0214"/>
    <w:rsid w:val="00DE070E"/>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208A5"/>
    <w:rsid w:val="00E20E7A"/>
    <w:rsid w:val="00E20E89"/>
    <w:rsid w:val="00E26C42"/>
    <w:rsid w:val="00E27D8A"/>
    <w:rsid w:val="00E35D3D"/>
    <w:rsid w:val="00E40D9C"/>
    <w:rsid w:val="00E42CF2"/>
    <w:rsid w:val="00E503A6"/>
    <w:rsid w:val="00E50433"/>
    <w:rsid w:val="00E52026"/>
    <w:rsid w:val="00E554AC"/>
    <w:rsid w:val="00E5555E"/>
    <w:rsid w:val="00E576B6"/>
    <w:rsid w:val="00E57F81"/>
    <w:rsid w:val="00E60C50"/>
    <w:rsid w:val="00E61074"/>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482E"/>
    <w:rsid w:val="00EA6378"/>
    <w:rsid w:val="00EA770C"/>
    <w:rsid w:val="00EB166D"/>
    <w:rsid w:val="00EB4775"/>
    <w:rsid w:val="00EB53F9"/>
    <w:rsid w:val="00EB5F3E"/>
    <w:rsid w:val="00ED044B"/>
    <w:rsid w:val="00ED189B"/>
    <w:rsid w:val="00ED4588"/>
    <w:rsid w:val="00ED4841"/>
    <w:rsid w:val="00ED64C2"/>
    <w:rsid w:val="00ED6B94"/>
    <w:rsid w:val="00EE1998"/>
    <w:rsid w:val="00EE2967"/>
    <w:rsid w:val="00EE5513"/>
    <w:rsid w:val="00EE5F1B"/>
    <w:rsid w:val="00EE618C"/>
    <w:rsid w:val="00EE7AB9"/>
    <w:rsid w:val="00EE7B28"/>
    <w:rsid w:val="00EF0D12"/>
    <w:rsid w:val="00EF15B1"/>
    <w:rsid w:val="00EF21F4"/>
    <w:rsid w:val="00EF2DCE"/>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668"/>
    <w:rsid w:val="00F478EC"/>
    <w:rsid w:val="00F500D0"/>
    <w:rsid w:val="00F53620"/>
    <w:rsid w:val="00F542F5"/>
    <w:rsid w:val="00F54A5E"/>
    <w:rsid w:val="00F55D28"/>
    <w:rsid w:val="00F56404"/>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6DB7"/>
    <w:rsid w:val="00FD73A0"/>
    <w:rsid w:val="00FD769B"/>
    <w:rsid w:val="00FE1362"/>
    <w:rsid w:val="00FE169F"/>
    <w:rsid w:val="00FE527E"/>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erreparmail.com/access.epl?shopperID=929618&amp;actionCode=52547&amp;enterCode=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mbito.com/opiniones/economia/lo-que-viene-4-meses-jolgorio-y-agarrate-catalina-n5070834" TargetMode="External"/><Relationship Id="rId4" Type="http://schemas.openxmlformats.org/officeDocument/2006/relationships/settings" Target="settings.xml"/><Relationship Id="rId9" Type="http://schemas.openxmlformats.org/officeDocument/2006/relationships/hyperlink" Target="http://click.erreparmail.com/access.epl?shopperID=929638&amp;actionCode=52561&amp;enterCode=1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57F644-D8D2-46C8-B29C-783C4E37B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2749</Words>
  <Characters>15123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3</cp:revision>
  <dcterms:created xsi:type="dcterms:W3CDTF">2019-12-15T22:46:00Z</dcterms:created>
  <dcterms:modified xsi:type="dcterms:W3CDTF">2019-12-15T23:06:00Z</dcterms:modified>
</cp:coreProperties>
</file>